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p>
    <w:p>
      <w:pPr>
        <w:ind w:firstLine="480"/>
      </w:pPr>
    </w:p>
    <w:p>
      <w:pPr>
        <w:ind w:firstLine="480"/>
      </w:pPr>
    </w:p>
    <w:p>
      <w:pPr>
        <w:ind w:firstLine="480"/>
      </w:pPr>
    </w:p>
    <w:p>
      <w:pPr>
        <w:ind w:firstLine="480"/>
      </w:pPr>
    </w:p>
    <w:p>
      <w:pPr>
        <w:ind w:firstLine="480"/>
        <w:sectPr>
          <w:headerReference r:id="rId7" w:type="first"/>
          <w:footerReference r:id="rId10" w:type="first"/>
          <w:headerReference r:id="rId5" w:type="default"/>
          <w:footerReference r:id="rId8" w:type="default"/>
          <w:headerReference r:id="rId6" w:type="even"/>
          <w:footerReference r:id="rId9" w:type="even"/>
          <w:pgSz w:w="23814" w:h="16839"/>
          <w:pgMar w:top="1440" w:right="1800" w:bottom="1440" w:left="1800" w:header="851" w:footer="992" w:gutter="0"/>
          <w:cols w:space="425" w:num="2"/>
          <w:docGrid w:type="lines" w:linePitch="326" w:charSpace="0"/>
        </w:sectPr>
      </w:pPr>
    </w:p>
    <w:p>
      <w:pPr>
        <w:ind w:firstLine="480"/>
      </w:pPr>
    </w:p>
    <w:p>
      <w:pPr>
        <w:ind w:firstLine="480"/>
      </w:pPr>
    </w:p>
    <w:p>
      <w:pPr>
        <w:ind w:firstLine="480"/>
      </w:pPr>
    </w:p>
    <w:p>
      <w:pPr>
        <w:ind w:firstLine="480"/>
      </w:pPr>
    </w:p>
    <w:p>
      <w:pPr>
        <w:ind w:firstLine="480"/>
      </w:pPr>
    </w:p>
    <w:p>
      <w:pPr>
        <w:ind w:firstLine="960"/>
        <w:jc w:val="center"/>
        <w:rPr>
          <w:rFonts w:ascii="Adobe 黑体 Std R" w:hAnsi="Adobe 黑体 Std R" w:eastAsia="Adobe 黑体 Std R"/>
          <w:sz w:val="48"/>
          <w:szCs w:val="32"/>
        </w:rPr>
        <w:sectPr>
          <w:type w:val="continuous"/>
          <w:pgSz w:w="23814" w:h="16839"/>
          <w:pgMar w:top="1440" w:right="1800" w:bottom="1440" w:left="1800" w:header="851" w:footer="992" w:gutter="0"/>
          <w:cols w:space="425" w:num="2"/>
          <w:docGrid w:type="lines" w:linePitch="326" w:charSpace="0"/>
        </w:sectPr>
      </w:pPr>
    </w:p>
    <w:p>
      <w:pPr>
        <w:ind w:firstLine="960"/>
        <w:jc w:val="center"/>
        <w:rPr>
          <w:rFonts w:ascii="Adobe 黑体 Std R" w:hAnsi="Adobe 黑体 Std R" w:eastAsia="Adobe 黑体 Std R"/>
          <w:sz w:val="48"/>
          <w:szCs w:val="32"/>
        </w:rPr>
      </w:pPr>
      <w:r>
        <w:rPr>
          <w:rFonts w:hint="eastAsia" w:ascii="Adobe 黑体 Std R" w:hAnsi="Adobe 黑体 Std R" w:eastAsia="Adobe 黑体 Std R"/>
          <w:sz w:val="48"/>
          <w:szCs w:val="32"/>
        </w:rPr>
        <w:t>旺苍县历史文化名城保护规划</w:t>
      </w:r>
    </w:p>
    <w:p>
      <w:pPr>
        <w:ind w:firstLine="640"/>
        <w:jc w:val="center"/>
        <w:rPr>
          <w:rFonts w:ascii="Adobe 黑体 Std R" w:hAnsi="Adobe 黑体 Std R" w:eastAsia="Adobe 黑体 Std R"/>
          <w:sz w:val="32"/>
          <w:szCs w:val="32"/>
        </w:rPr>
      </w:pPr>
      <w:r>
        <w:rPr>
          <w:rFonts w:hint="eastAsia" w:ascii="Adobe 黑体 Std R" w:hAnsi="Adobe 黑体 Std R" w:eastAsia="Adobe 黑体 Std R"/>
          <w:sz w:val="32"/>
          <w:szCs w:val="32"/>
        </w:rPr>
        <w:t>（2017-203</w:t>
      </w:r>
      <w:r>
        <w:rPr>
          <w:rFonts w:ascii="Adobe 黑体 Std R" w:hAnsi="Adobe 黑体 Std R" w:eastAsia="Adobe 黑体 Std R"/>
          <w:sz w:val="32"/>
          <w:szCs w:val="32"/>
        </w:rPr>
        <w:t>5</w:t>
      </w:r>
      <w:r>
        <w:rPr>
          <w:rFonts w:hint="eastAsia" w:ascii="Adobe 黑体 Std R" w:hAnsi="Adobe 黑体 Std R" w:eastAsia="Adobe 黑体 Std R"/>
          <w:sz w:val="32"/>
          <w:szCs w:val="32"/>
        </w:rPr>
        <w:t>）</w:t>
      </w:r>
    </w:p>
    <w:p>
      <w:pPr>
        <w:ind w:firstLine="640"/>
        <w:jc w:val="center"/>
        <w:rPr>
          <w:rFonts w:ascii="Adobe 黑体 Std R" w:hAnsi="Adobe 黑体 Std R" w:eastAsia="Adobe 黑体 Std R"/>
          <w:sz w:val="32"/>
          <w:szCs w:val="32"/>
        </w:rPr>
      </w:pPr>
    </w:p>
    <w:p>
      <w:pPr>
        <w:ind w:firstLine="640"/>
        <w:jc w:val="center"/>
        <w:rPr>
          <w:rFonts w:ascii="Adobe 黑体 Std R" w:hAnsi="Adobe 黑体 Std R" w:eastAsia="Adobe 黑体 Std R"/>
          <w:sz w:val="32"/>
          <w:szCs w:val="32"/>
        </w:rPr>
      </w:pPr>
      <w:r>
        <w:rPr>
          <w:rFonts w:hint="eastAsia" w:ascii="Adobe 黑体 Std R" w:hAnsi="Adobe 黑体 Std R" w:eastAsia="Adobe 黑体 Std R"/>
          <w:sz w:val="32"/>
          <w:szCs w:val="32"/>
        </w:rPr>
        <w:t>文   本</w:t>
      </w:r>
    </w:p>
    <w:p>
      <w:pPr>
        <w:ind w:firstLine="640"/>
        <w:rPr>
          <w:rFonts w:ascii="Adobe 黑体 Std R" w:hAnsi="Adobe 黑体 Std R" w:eastAsia="Adobe 黑体 Std R"/>
          <w:sz w:val="32"/>
          <w:szCs w:val="32"/>
        </w:rPr>
      </w:pPr>
    </w:p>
    <w:p>
      <w:pPr>
        <w:ind w:firstLine="640"/>
        <w:jc w:val="center"/>
        <w:rPr>
          <w:rFonts w:ascii="Adobe 黑体 Std R" w:hAnsi="Adobe 黑体 Std R" w:eastAsia="Adobe 黑体 Std R"/>
          <w:sz w:val="32"/>
          <w:szCs w:val="32"/>
        </w:rPr>
      </w:pPr>
    </w:p>
    <w:p>
      <w:pPr>
        <w:ind w:firstLine="640"/>
        <w:jc w:val="center"/>
        <w:rPr>
          <w:rFonts w:ascii="Adobe 黑体 Std R" w:hAnsi="Adobe 黑体 Std R" w:eastAsia="Adobe 黑体 Std R"/>
          <w:sz w:val="32"/>
          <w:szCs w:val="32"/>
        </w:rPr>
      </w:pPr>
    </w:p>
    <w:p>
      <w:pPr>
        <w:ind w:firstLine="640"/>
        <w:jc w:val="center"/>
        <w:rPr>
          <w:rFonts w:ascii="Adobe 黑体 Std R" w:hAnsi="Adobe 黑体 Std R" w:eastAsia="Adobe 黑体 Std R"/>
          <w:sz w:val="32"/>
          <w:szCs w:val="32"/>
        </w:rPr>
      </w:pPr>
    </w:p>
    <w:p>
      <w:pPr>
        <w:ind w:firstLine="480"/>
        <w:jc w:val="center"/>
        <w:rPr>
          <w:rFonts w:ascii="Adobe 黑体 Std R" w:hAnsi="Adobe 黑体 Std R" w:eastAsia="Adobe 黑体 Std R"/>
          <w:szCs w:val="32"/>
        </w:rPr>
      </w:pPr>
    </w:p>
    <w:p>
      <w:pPr>
        <w:ind w:firstLine="480"/>
        <w:jc w:val="center"/>
        <w:rPr>
          <w:rFonts w:ascii="Adobe 黑体 Std R" w:hAnsi="Adobe 黑体 Std R" w:eastAsia="Adobe 黑体 Std R"/>
          <w:szCs w:val="32"/>
        </w:rPr>
      </w:pPr>
    </w:p>
    <w:p>
      <w:pPr>
        <w:ind w:firstLine="480"/>
        <w:jc w:val="center"/>
        <w:rPr>
          <w:rFonts w:ascii="Adobe 黑体 Std R" w:hAnsi="Adobe 黑体 Std R" w:eastAsia="Adobe 黑体 Std R"/>
          <w:szCs w:val="32"/>
        </w:rPr>
      </w:pPr>
    </w:p>
    <w:p>
      <w:pPr>
        <w:ind w:firstLine="420"/>
        <w:jc w:val="center"/>
        <w:rPr>
          <w:rFonts w:ascii="Adobe 黑体 Std R" w:hAnsi="Adobe 黑体 Std R" w:eastAsia="Adobe 黑体 Std R"/>
          <w:sz w:val="21"/>
          <w:szCs w:val="32"/>
        </w:rPr>
      </w:pPr>
    </w:p>
    <w:p>
      <w:pPr>
        <w:ind w:firstLine="0" w:firstLineChars="0"/>
        <w:rPr>
          <w:rFonts w:ascii="Adobe 黑体 Std R" w:hAnsi="Adobe 黑体 Std R" w:eastAsia="Adobe 黑体 Std R"/>
          <w:sz w:val="32"/>
          <w:szCs w:val="32"/>
        </w:rPr>
      </w:pPr>
    </w:p>
    <w:p>
      <w:pPr>
        <w:ind w:firstLine="480"/>
        <w:jc w:val="center"/>
        <w:rPr>
          <w:rFonts w:ascii="Adobe 黑体 Std R" w:hAnsi="Adobe 黑体 Std R" w:eastAsia="Adobe 黑体 Std R"/>
          <w:szCs w:val="32"/>
        </w:rPr>
      </w:pPr>
      <w:r>
        <w:rPr>
          <w:rFonts w:hint="eastAsia" w:ascii="Adobe 黑体 Std R" w:hAnsi="Adobe 黑体 Std R" w:eastAsia="Adobe 黑体 Std R"/>
          <w:szCs w:val="32"/>
        </w:rPr>
        <w:t>旺苍县人民政府</w:t>
      </w:r>
    </w:p>
    <w:p>
      <w:pPr>
        <w:ind w:firstLine="480"/>
        <w:jc w:val="center"/>
        <w:rPr>
          <w:rFonts w:ascii="Adobe 黑体 Std R" w:hAnsi="Adobe 黑体 Std R" w:eastAsia="Adobe 黑体 Std R"/>
          <w:szCs w:val="32"/>
        </w:rPr>
      </w:pPr>
      <w:r>
        <w:rPr>
          <w:rFonts w:hint="eastAsia" w:ascii="Adobe 黑体 Std R" w:hAnsi="Adobe 黑体 Std R" w:eastAsia="Adobe 黑体 Std R"/>
          <w:szCs w:val="32"/>
        </w:rPr>
        <w:t>中外建工程设计与顾问有限公司</w:t>
      </w:r>
    </w:p>
    <w:p>
      <w:pPr>
        <w:ind w:firstLine="420"/>
        <w:jc w:val="center"/>
        <w:rPr>
          <w:rFonts w:ascii="Adobe 黑体 Std R" w:hAnsi="Adobe 黑体 Std R" w:eastAsia="Adobe 黑体 Std R"/>
          <w:sz w:val="21"/>
          <w:szCs w:val="32"/>
        </w:rPr>
        <w:sectPr>
          <w:type w:val="continuous"/>
          <w:pgSz w:w="23814" w:h="16839"/>
          <w:pgMar w:top="1440" w:right="1800" w:bottom="1440" w:left="1800" w:header="851" w:footer="992" w:gutter="0"/>
          <w:cols w:space="425" w:num="1"/>
          <w:docGrid w:type="lines" w:linePitch="326" w:charSpace="0"/>
        </w:sectPr>
      </w:pPr>
    </w:p>
    <w:p>
      <w:pPr>
        <w:ind w:firstLine="420"/>
        <w:jc w:val="center"/>
        <w:rPr>
          <w:rFonts w:ascii="Adobe 黑体 Std R" w:hAnsi="Adobe 黑体 Std R" w:eastAsia="Adobe 黑体 Std R"/>
          <w:sz w:val="21"/>
          <w:szCs w:val="32"/>
        </w:rPr>
        <w:sectPr>
          <w:type w:val="continuous"/>
          <w:pgSz w:w="23814" w:h="16839"/>
          <w:pgMar w:top="1440" w:right="1800" w:bottom="1440" w:left="1800" w:header="851" w:footer="992" w:gutter="0"/>
          <w:cols w:space="425" w:num="1"/>
          <w:docGrid w:type="lines" w:linePitch="326" w:charSpace="0"/>
        </w:sectPr>
      </w:pPr>
      <w:r>
        <w:rPr>
          <w:rFonts w:hint="eastAsia" w:ascii="Adobe 黑体 Std R" w:hAnsi="Adobe 黑体 Std R" w:eastAsia="Adobe 黑体 Std R"/>
          <w:sz w:val="21"/>
          <w:szCs w:val="32"/>
        </w:rPr>
        <w:t>2019.</w:t>
      </w:r>
      <w:r>
        <w:rPr>
          <w:rFonts w:ascii="Adobe 黑体 Std R" w:hAnsi="Adobe 黑体 Std R" w:eastAsia="Adobe 黑体 Std R"/>
          <w:sz w:val="21"/>
          <w:szCs w:val="32"/>
        </w:rPr>
        <w:t>0</w:t>
      </w:r>
      <w:r>
        <w:rPr>
          <w:rFonts w:hint="eastAsia" w:ascii="Adobe 黑体 Std R" w:hAnsi="Adobe 黑体 Std R" w:eastAsia="Adobe 黑体 Std R"/>
          <w:sz w:val="21"/>
          <w:szCs w:val="32"/>
        </w:rPr>
        <w:t>3</w:t>
      </w:r>
    </w:p>
    <w:p>
      <w:pPr>
        <w:pStyle w:val="27"/>
      </w:pPr>
      <w:bookmarkStart w:id="0" w:name="_Toc487549343"/>
      <w:bookmarkStart w:id="1" w:name="_Toc487547210"/>
      <w:bookmarkStart w:id="2" w:name="_Toc497180723"/>
      <w:bookmarkStart w:id="3" w:name="_Toc487547973"/>
      <w:bookmarkStart w:id="4" w:name="_Toc487547353"/>
      <w:r>
        <w:rPr>
          <w:rFonts w:hint="eastAsia"/>
        </w:rPr>
        <w:t>目 录</w:t>
      </w:r>
      <w:bookmarkEnd w:id="0"/>
      <w:bookmarkEnd w:id="1"/>
      <w:bookmarkEnd w:id="2"/>
      <w:bookmarkEnd w:id="3"/>
      <w:bookmarkEnd w:id="4"/>
    </w:p>
    <w:p>
      <w:pPr>
        <w:pStyle w:val="27"/>
        <w:rPr>
          <w:rFonts w:cstheme="minorBidi"/>
          <w:b w:val="0"/>
          <w:bCs w:val="0"/>
          <w:caps w:val="0"/>
          <w:sz w:val="21"/>
          <w:szCs w:val="22"/>
        </w:rPr>
      </w:pPr>
      <w:r>
        <w:rPr>
          <w:rFonts w:eastAsia="宋体"/>
          <w:highlight w:val="yellow"/>
        </w:rPr>
        <w:fldChar w:fldCharType="begin"/>
      </w:r>
      <w:r>
        <w:rPr>
          <w:rFonts w:eastAsia="宋体"/>
          <w:highlight w:val="yellow"/>
        </w:rPr>
        <w:instrText xml:space="preserve"> TOC \o "1-2" \h \z \u </w:instrText>
      </w:r>
      <w:r>
        <w:rPr>
          <w:rFonts w:eastAsia="宋体"/>
          <w:highlight w:val="yellow"/>
        </w:rPr>
        <w:fldChar w:fldCharType="separate"/>
      </w:r>
      <w:r>
        <w:fldChar w:fldCharType="begin"/>
      </w:r>
      <w:r>
        <w:instrText xml:space="preserve"> HYPERLINK \l "_Toc3889170" </w:instrText>
      </w:r>
      <w:r>
        <w:fldChar w:fldCharType="separate"/>
      </w:r>
      <w:r>
        <w:rPr>
          <w:rStyle w:val="42"/>
        </w:rPr>
        <w:t>四川省住房和城乡建设厅关于《旺苍县历史文化名城保护规划（2017-2035）技术审查会纪要</w:t>
      </w:r>
      <w:r>
        <w:tab/>
      </w:r>
      <w:r>
        <w:fldChar w:fldCharType="begin"/>
      </w:r>
      <w:r>
        <w:instrText xml:space="preserve"> PAGEREF _Toc3889170 \h </w:instrText>
      </w:r>
      <w:r>
        <w:fldChar w:fldCharType="separate"/>
      </w:r>
      <w:r>
        <w:t>4</w:t>
      </w:r>
      <w:r>
        <w:fldChar w:fldCharType="end"/>
      </w:r>
      <w:r>
        <w:fldChar w:fldCharType="end"/>
      </w:r>
    </w:p>
    <w:p>
      <w:pPr>
        <w:pStyle w:val="27"/>
        <w:rPr>
          <w:rFonts w:cstheme="minorBidi"/>
          <w:b w:val="0"/>
          <w:bCs w:val="0"/>
          <w:caps w:val="0"/>
          <w:sz w:val="21"/>
          <w:szCs w:val="22"/>
        </w:rPr>
      </w:pPr>
      <w:r>
        <w:fldChar w:fldCharType="begin"/>
      </w:r>
      <w:r>
        <w:instrText xml:space="preserve"> HYPERLINK \l "_Toc3889171" </w:instrText>
      </w:r>
      <w:r>
        <w:fldChar w:fldCharType="separate"/>
      </w:r>
      <w:r>
        <w:rPr>
          <w:rStyle w:val="42"/>
        </w:rPr>
        <w:t>关于《&lt;旺苍县历史文化名城保护规划（2017-2035）&gt;技术审查会纪要》的修改说明</w:t>
      </w:r>
      <w:r>
        <w:tab/>
      </w:r>
      <w:r>
        <w:fldChar w:fldCharType="begin"/>
      </w:r>
      <w:r>
        <w:instrText xml:space="preserve"> PAGEREF _Toc3889171 \h </w:instrText>
      </w:r>
      <w:r>
        <w:fldChar w:fldCharType="separate"/>
      </w:r>
      <w:r>
        <w:t>6</w:t>
      </w:r>
      <w:r>
        <w:fldChar w:fldCharType="end"/>
      </w:r>
      <w:r>
        <w:fldChar w:fldCharType="end"/>
      </w:r>
    </w:p>
    <w:p>
      <w:pPr>
        <w:pStyle w:val="27"/>
        <w:rPr>
          <w:rFonts w:cstheme="minorBidi"/>
          <w:b w:val="0"/>
          <w:bCs w:val="0"/>
          <w:caps w:val="0"/>
          <w:sz w:val="21"/>
          <w:szCs w:val="22"/>
        </w:rPr>
      </w:pPr>
      <w:r>
        <w:fldChar w:fldCharType="begin"/>
      </w:r>
      <w:r>
        <w:instrText xml:space="preserve"> HYPERLINK \l "_Toc3889172" </w:instrText>
      </w:r>
      <w:r>
        <w:fldChar w:fldCharType="separate"/>
      </w:r>
      <w:r>
        <w:rPr>
          <w:rStyle w:val="42"/>
        </w:rPr>
        <w:t>广元市城乡规划委员会办公室《旺苍县历史文化名城保护规划（2017-2035）》市级部门联席审查会会议纪要</w:t>
      </w:r>
      <w:r>
        <w:tab/>
      </w:r>
      <w:r>
        <w:fldChar w:fldCharType="begin"/>
      </w:r>
      <w:r>
        <w:instrText xml:space="preserve"> PAGEREF _Toc3889172 \h </w:instrText>
      </w:r>
      <w:r>
        <w:fldChar w:fldCharType="separate"/>
      </w:r>
      <w:r>
        <w:t>7</w:t>
      </w:r>
      <w:r>
        <w:fldChar w:fldCharType="end"/>
      </w:r>
      <w:r>
        <w:fldChar w:fldCharType="end"/>
      </w:r>
    </w:p>
    <w:p>
      <w:pPr>
        <w:pStyle w:val="27"/>
        <w:rPr>
          <w:rFonts w:cstheme="minorBidi"/>
          <w:b w:val="0"/>
          <w:bCs w:val="0"/>
          <w:caps w:val="0"/>
          <w:sz w:val="21"/>
          <w:szCs w:val="22"/>
        </w:rPr>
      </w:pPr>
      <w:r>
        <w:fldChar w:fldCharType="begin"/>
      </w:r>
      <w:r>
        <w:instrText xml:space="preserve"> HYPERLINK \l "_Toc3889173" </w:instrText>
      </w:r>
      <w:r>
        <w:fldChar w:fldCharType="separate"/>
      </w:r>
      <w:r>
        <w:rPr>
          <w:rStyle w:val="42"/>
        </w:rPr>
        <w:t>关于《广元市城乡规划委员会办公室&lt;旺苍县历史文化名城保护规划（2017-2035）&gt;市级部门联席审查会会议纪要》的修改说明</w:t>
      </w:r>
      <w:r>
        <w:tab/>
      </w:r>
      <w:r>
        <w:fldChar w:fldCharType="begin"/>
      </w:r>
      <w:r>
        <w:instrText xml:space="preserve"> PAGEREF _Toc3889173 \h </w:instrText>
      </w:r>
      <w:r>
        <w:fldChar w:fldCharType="separate"/>
      </w:r>
      <w:r>
        <w:t>8</w:t>
      </w:r>
      <w:r>
        <w:fldChar w:fldCharType="end"/>
      </w:r>
      <w:r>
        <w:fldChar w:fldCharType="end"/>
      </w:r>
    </w:p>
    <w:p>
      <w:pPr>
        <w:pStyle w:val="27"/>
        <w:rPr>
          <w:rFonts w:cstheme="minorBidi"/>
          <w:b w:val="0"/>
          <w:bCs w:val="0"/>
          <w:caps w:val="0"/>
          <w:sz w:val="21"/>
          <w:szCs w:val="22"/>
        </w:rPr>
      </w:pPr>
      <w:r>
        <w:fldChar w:fldCharType="begin"/>
      </w:r>
      <w:r>
        <w:instrText xml:space="preserve"> HYPERLINK \l "_Toc3889174" </w:instrText>
      </w:r>
      <w:r>
        <w:fldChar w:fldCharType="separate"/>
      </w:r>
      <w:r>
        <w:rPr>
          <w:rStyle w:val="42"/>
        </w:rPr>
        <w:t>旺苍县城乡规划委员会关于《旺苍县历史文化名城保护规划</w:t>
      </w:r>
      <w:r>
        <w:rPr>
          <w:rStyle w:val="42"/>
        </w:rPr>
        <w:fldChar w:fldCharType="end"/>
      </w:r>
      <w:r>
        <w:fldChar w:fldCharType="begin"/>
      </w:r>
      <w:r>
        <w:instrText xml:space="preserve"> HYPERLINK \l "_Toc3889175" </w:instrText>
      </w:r>
      <w:r>
        <w:fldChar w:fldCharType="separate"/>
      </w:r>
      <w:r>
        <w:rPr>
          <w:rStyle w:val="42"/>
        </w:rPr>
        <w:t>（2017-2035）》的会议纪要</w:t>
      </w:r>
      <w:r>
        <w:tab/>
      </w:r>
      <w:r>
        <w:fldChar w:fldCharType="begin"/>
      </w:r>
      <w:r>
        <w:instrText xml:space="preserve"> PAGEREF _Toc3889175 \h </w:instrText>
      </w:r>
      <w:r>
        <w:fldChar w:fldCharType="separate"/>
      </w:r>
      <w:r>
        <w:t>9</w:t>
      </w:r>
      <w:r>
        <w:fldChar w:fldCharType="end"/>
      </w:r>
      <w:r>
        <w:fldChar w:fldCharType="end"/>
      </w:r>
    </w:p>
    <w:p>
      <w:pPr>
        <w:pStyle w:val="27"/>
        <w:tabs>
          <w:tab w:val="left" w:pos="4643"/>
        </w:tabs>
        <w:rPr>
          <w:rFonts w:cstheme="minorBidi"/>
          <w:b w:val="0"/>
          <w:bCs w:val="0"/>
          <w:caps w:val="0"/>
          <w:sz w:val="21"/>
          <w:szCs w:val="22"/>
        </w:rPr>
      </w:pPr>
      <w:r>
        <w:fldChar w:fldCharType="begin"/>
      </w:r>
      <w:r>
        <w:instrText xml:space="preserve"> HYPERLINK \l "_Toc3889176" </w:instrText>
      </w:r>
      <w:r>
        <w:fldChar w:fldCharType="separate"/>
      </w:r>
      <w:r>
        <w:rPr>
          <w:rStyle w:val="42"/>
        </w:rPr>
        <w:t>第一章</w:t>
      </w:r>
      <w:r>
        <w:rPr>
          <w:rFonts w:cstheme="minorBidi"/>
          <w:b w:val="0"/>
          <w:bCs w:val="0"/>
          <w:caps w:val="0"/>
          <w:sz w:val="21"/>
          <w:szCs w:val="22"/>
        </w:rPr>
        <w:tab/>
      </w:r>
      <w:r>
        <w:rPr>
          <w:rStyle w:val="42"/>
        </w:rPr>
        <w:t>总则</w:t>
      </w:r>
      <w:r>
        <w:tab/>
      </w:r>
      <w:r>
        <w:fldChar w:fldCharType="begin"/>
      </w:r>
      <w:r>
        <w:instrText xml:space="preserve"> PAGEREF _Toc3889176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"_Toc3889177" </w:instrText>
      </w:r>
      <w:r>
        <w:fldChar w:fldCharType="separate"/>
      </w:r>
      <w:r>
        <w:rPr>
          <w:rStyle w:val="42"/>
        </w:rPr>
        <w:t>第一条</w:t>
      </w:r>
      <w:r>
        <w:rPr>
          <w:rFonts w:cstheme="minorBidi"/>
          <w:smallCaps w:val="0"/>
          <w:sz w:val="21"/>
          <w:szCs w:val="22"/>
        </w:rPr>
        <w:tab/>
      </w:r>
      <w:r>
        <w:rPr>
          <w:rStyle w:val="42"/>
        </w:rPr>
        <w:t>规划背景</w:t>
      </w:r>
      <w:r>
        <w:tab/>
      </w:r>
      <w:r>
        <w:fldChar w:fldCharType="begin"/>
      </w:r>
      <w:r>
        <w:instrText xml:space="preserve"> PAGEREF _Toc3889177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"_Toc3889178" </w:instrText>
      </w:r>
      <w:r>
        <w:fldChar w:fldCharType="separate"/>
      </w:r>
      <w:r>
        <w:rPr>
          <w:rStyle w:val="42"/>
        </w:rPr>
        <w:t>第二条</w:t>
      </w:r>
      <w:r>
        <w:rPr>
          <w:rFonts w:cstheme="minorBidi"/>
          <w:smallCaps w:val="0"/>
          <w:sz w:val="21"/>
          <w:szCs w:val="22"/>
        </w:rPr>
        <w:tab/>
      </w:r>
      <w:r>
        <w:rPr>
          <w:rStyle w:val="42"/>
        </w:rPr>
        <w:t>规划依据</w:t>
      </w:r>
      <w:r>
        <w:tab/>
      </w:r>
      <w:r>
        <w:fldChar w:fldCharType="begin"/>
      </w:r>
      <w:r>
        <w:instrText xml:space="preserve"> PAGEREF _Toc3889178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"_Toc3889179" </w:instrText>
      </w:r>
      <w:r>
        <w:fldChar w:fldCharType="separate"/>
      </w:r>
      <w:r>
        <w:rPr>
          <w:rStyle w:val="42"/>
        </w:rPr>
        <w:t>第三条</w:t>
      </w:r>
      <w:r>
        <w:rPr>
          <w:rFonts w:cstheme="minorBidi"/>
          <w:smallCaps w:val="0"/>
          <w:sz w:val="21"/>
          <w:szCs w:val="22"/>
        </w:rPr>
        <w:tab/>
      </w:r>
      <w:r>
        <w:rPr>
          <w:rStyle w:val="42"/>
        </w:rPr>
        <w:t>规划期限</w:t>
      </w:r>
      <w:r>
        <w:tab/>
      </w:r>
      <w:r>
        <w:fldChar w:fldCharType="begin"/>
      </w:r>
      <w:r>
        <w:instrText xml:space="preserve"> PAGEREF _Toc3889179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"_Toc3889180" </w:instrText>
      </w:r>
      <w:r>
        <w:fldChar w:fldCharType="separate"/>
      </w:r>
      <w:r>
        <w:rPr>
          <w:rStyle w:val="42"/>
        </w:rPr>
        <w:t>第四条</w:t>
      </w:r>
      <w:r>
        <w:rPr>
          <w:rFonts w:cstheme="minorBidi"/>
          <w:smallCaps w:val="0"/>
          <w:sz w:val="21"/>
          <w:szCs w:val="22"/>
        </w:rPr>
        <w:tab/>
      </w:r>
      <w:r>
        <w:rPr>
          <w:rStyle w:val="42"/>
        </w:rPr>
        <w:t>规划范围</w:t>
      </w:r>
      <w:r>
        <w:tab/>
      </w:r>
      <w:r>
        <w:fldChar w:fldCharType="begin"/>
      </w:r>
      <w:r>
        <w:instrText xml:space="preserve"> PAGEREF _Toc3889180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"_Toc3889181" </w:instrText>
      </w:r>
      <w:r>
        <w:fldChar w:fldCharType="separate"/>
      </w:r>
      <w:r>
        <w:rPr>
          <w:rStyle w:val="42"/>
        </w:rPr>
        <w:t>第五条</w:t>
      </w:r>
      <w:r>
        <w:rPr>
          <w:rFonts w:cstheme="minorBidi"/>
          <w:smallCaps w:val="0"/>
          <w:sz w:val="21"/>
          <w:szCs w:val="22"/>
        </w:rPr>
        <w:tab/>
      </w:r>
      <w:r>
        <w:rPr>
          <w:rStyle w:val="42"/>
        </w:rPr>
        <w:t>规划适用范围</w:t>
      </w:r>
      <w:r>
        <w:tab/>
      </w:r>
      <w:r>
        <w:fldChar w:fldCharType="begin"/>
      </w:r>
      <w:r>
        <w:instrText xml:space="preserve"> PAGEREF _Toc3889181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"_Toc3889182" </w:instrText>
      </w:r>
      <w:r>
        <w:fldChar w:fldCharType="separate"/>
      </w:r>
      <w:r>
        <w:rPr>
          <w:rStyle w:val="42"/>
        </w:rPr>
        <w:t>第六条</w:t>
      </w:r>
      <w:r>
        <w:rPr>
          <w:rFonts w:cstheme="minorBidi"/>
          <w:smallCaps w:val="0"/>
          <w:sz w:val="21"/>
          <w:szCs w:val="22"/>
        </w:rPr>
        <w:tab/>
      </w:r>
      <w:r>
        <w:rPr>
          <w:rStyle w:val="42"/>
        </w:rPr>
        <w:t>规划法律效力</w:t>
      </w:r>
      <w:r>
        <w:tab/>
      </w:r>
      <w:r>
        <w:fldChar w:fldCharType="begin"/>
      </w:r>
      <w:r>
        <w:instrText xml:space="preserve"> PAGEREF _Toc3889182 \h </w:instrText>
      </w:r>
      <w:r>
        <w:fldChar w:fldCharType="separate"/>
      </w:r>
      <w:r>
        <w:t>10</w:t>
      </w:r>
      <w:r>
        <w:fldChar w:fldCharType="end"/>
      </w:r>
      <w:r>
        <w:fldChar w:fldCharType="end"/>
      </w:r>
    </w:p>
    <w:p>
      <w:pPr>
        <w:pStyle w:val="27"/>
        <w:rPr>
          <w:rFonts w:cstheme="minorBidi"/>
          <w:b w:val="0"/>
          <w:bCs w:val="0"/>
          <w:caps w:val="0"/>
          <w:sz w:val="21"/>
          <w:szCs w:val="22"/>
        </w:rPr>
      </w:pPr>
      <w:r>
        <w:fldChar w:fldCharType="begin"/>
      </w:r>
      <w:r>
        <w:instrText xml:space="preserve"> HYPERLINK \l "_Toc3889183" </w:instrText>
      </w:r>
      <w:r>
        <w:fldChar w:fldCharType="separate"/>
      </w:r>
      <w:r>
        <w:rPr>
          <w:rStyle w:val="42"/>
        </w:rPr>
        <w:t>第二章</w:t>
      </w:r>
      <w:r>
        <w:rPr>
          <w:rFonts w:cstheme="minorBidi"/>
          <w:b w:val="0"/>
          <w:bCs w:val="0"/>
          <w:caps w:val="0"/>
          <w:sz w:val="21"/>
          <w:szCs w:val="22"/>
        </w:rPr>
        <w:tab/>
      </w:r>
      <w:r>
        <w:rPr>
          <w:rStyle w:val="42"/>
        </w:rPr>
        <w:t>历史价值与名城特色</w:t>
      </w:r>
      <w:r>
        <w:tab/>
      </w:r>
      <w:r>
        <w:fldChar w:fldCharType="begin"/>
      </w:r>
      <w:r>
        <w:instrText xml:space="preserve"> PAGEREF _Toc3889183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"_Toc3889184" </w:instrText>
      </w:r>
      <w:r>
        <w:fldChar w:fldCharType="separate"/>
      </w:r>
      <w:r>
        <w:rPr>
          <w:rStyle w:val="42"/>
        </w:rPr>
        <w:t>第七条</w:t>
      </w:r>
      <w:r>
        <w:rPr>
          <w:rFonts w:cstheme="minorBidi"/>
          <w:smallCaps w:val="0"/>
          <w:sz w:val="21"/>
          <w:szCs w:val="22"/>
        </w:rPr>
        <w:tab/>
      </w:r>
      <w:r>
        <w:rPr>
          <w:rStyle w:val="42"/>
        </w:rPr>
        <w:t>名城价值</w:t>
      </w:r>
      <w:r>
        <w:tab/>
      </w:r>
      <w:r>
        <w:fldChar w:fldCharType="begin"/>
      </w:r>
      <w:r>
        <w:instrText xml:space="preserve"> PAGEREF _Toc3889184 \h </w:instrText>
      </w:r>
      <w:r>
        <w:fldChar w:fldCharType="separate"/>
      </w:r>
      <w:r>
        <w:t>10</w:t>
      </w:r>
      <w:r>
        <w:fldChar w:fldCharType="end"/>
      </w:r>
      <w:r>
        <w:fldChar w:fldCharType="end"/>
      </w:r>
    </w:p>
    <w:p>
      <w:pPr>
        <w:pStyle w:val="32"/>
        <w:rPr>
          <w:rFonts w:cstheme="minorBidi"/>
          <w:smallCaps w:val="0"/>
          <w:sz w:val="21"/>
          <w:szCs w:val="22"/>
        </w:rPr>
      </w:pPr>
      <w:r>
        <w:fldChar w:fldCharType="begin"/>
      </w:r>
      <w:r>
        <w:instrText xml:space="preserve"> HYPERLINK \l "_Toc3889185" </w:instrText>
      </w:r>
      <w:r>
        <w:fldChar w:fldCharType="separate"/>
      </w:r>
      <w:r>
        <w:rPr>
          <w:rStyle w:val="42"/>
        </w:rPr>
        <w:t>第八条</w:t>
      </w:r>
      <w:r>
        <w:rPr>
          <w:rFonts w:cstheme="minorBidi"/>
          <w:smallCaps w:val="0"/>
          <w:sz w:val="21"/>
          <w:szCs w:val="22"/>
        </w:rPr>
        <w:tab/>
      </w:r>
      <w:r>
        <w:rPr>
          <w:rStyle w:val="42"/>
        </w:rPr>
        <w:t>名城特色</w:t>
      </w:r>
      <w:r>
        <w:tab/>
      </w:r>
      <w:r>
        <w:fldChar w:fldCharType="begin"/>
      </w:r>
      <w:r>
        <w:instrText xml:space="preserve"> PAGEREF _Toc3889185 \h </w:instrText>
      </w:r>
      <w:r>
        <w:fldChar w:fldCharType="separate"/>
      </w:r>
      <w:r>
        <w:t>11</w:t>
      </w:r>
      <w:r>
        <w:fldChar w:fldCharType="end"/>
      </w:r>
      <w:r>
        <w:fldChar w:fldCharType="end"/>
      </w:r>
    </w:p>
    <w:p>
      <w:pPr>
        <w:pStyle w:val="27"/>
        <w:rPr>
          <w:rFonts w:cstheme="minorBidi"/>
          <w:b w:val="0"/>
          <w:bCs w:val="0"/>
          <w:caps w:val="0"/>
          <w:sz w:val="21"/>
          <w:szCs w:val="22"/>
        </w:rPr>
      </w:pPr>
      <w:r>
        <w:fldChar w:fldCharType="begin"/>
      </w:r>
      <w:r>
        <w:instrText xml:space="preserve"> HYPERLINK \l "_Toc3889186" </w:instrText>
      </w:r>
      <w:r>
        <w:fldChar w:fldCharType="separate"/>
      </w:r>
      <w:r>
        <w:rPr>
          <w:rStyle w:val="42"/>
        </w:rPr>
        <w:t>第三章</w:t>
      </w:r>
      <w:r>
        <w:rPr>
          <w:rFonts w:cstheme="minorBidi"/>
          <w:b w:val="0"/>
          <w:bCs w:val="0"/>
          <w:caps w:val="0"/>
          <w:sz w:val="21"/>
          <w:szCs w:val="22"/>
        </w:rPr>
        <w:tab/>
      </w:r>
      <w:r>
        <w:rPr>
          <w:rStyle w:val="42"/>
        </w:rPr>
        <w:t>总体保护框架</w:t>
      </w:r>
      <w:r>
        <w:tab/>
      </w:r>
      <w:r>
        <w:fldChar w:fldCharType="begin"/>
      </w:r>
      <w:r>
        <w:instrText xml:space="preserve"> PAGEREF _Toc3889186 \h </w:instrText>
      </w:r>
      <w:r>
        <w:fldChar w:fldCharType="separate"/>
      </w:r>
      <w:r>
        <w:t>11</w:t>
      </w:r>
      <w:r>
        <w:fldChar w:fldCharType="end"/>
      </w:r>
      <w:r>
        <w:fldChar w:fldCharType="end"/>
      </w:r>
    </w:p>
    <w:p>
      <w:pPr>
        <w:pStyle w:val="32"/>
        <w:rPr>
          <w:rFonts w:cstheme="minorBidi"/>
          <w:smallCaps w:val="0"/>
          <w:sz w:val="21"/>
          <w:szCs w:val="22"/>
        </w:rPr>
      </w:pPr>
      <w:r>
        <w:fldChar w:fldCharType="begin"/>
      </w:r>
      <w:r>
        <w:instrText xml:space="preserve"> HYPERLINK \l "_Toc3889187" </w:instrText>
      </w:r>
      <w:r>
        <w:fldChar w:fldCharType="separate"/>
      </w:r>
      <w:r>
        <w:rPr>
          <w:rStyle w:val="42"/>
        </w:rPr>
        <w:t>第九条</w:t>
      </w:r>
      <w:r>
        <w:rPr>
          <w:rFonts w:cstheme="minorBidi"/>
          <w:smallCaps w:val="0"/>
          <w:sz w:val="21"/>
          <w:szCs w:val="22"/>
        </w:rPr>
        <w:tab/>
      </w:r>
      <w:r>
        <w:rPr>
          <w:rStyle w:val="42"/>
        </w:rPr>
        <w:t>保护目标</w:t>
      </w:r>
      <w:r>
        <w:tab/>
      </w:r>
      <w:r>
        <w:fldChar w:fldCharType="begin"/>
      </w:r>
      <w:r>
        <w:instrText xml:space="preserve"> PAGEREF _Toc3889187 \h </w:instrText>
      </w:r>
      <w:r>
        <w:fldChar w:fldCharType="separate"/>
      </w:r>
      <w:r>
        <w:t>11</w:t>
      </w:r>
      <w:r>
        <w:fldChar w:fldCharType="end"/>
      </w:r>
      <w:r>
        <w:fldChar w:fldCharType="end"/>
      </w:r>
    </w:p>
    <w:p>
      <w:pPr>
        <w:pStyle w:val="32"/>
        <w:rPr>
          <w:rFonts w:cstheme="minorBidi"/>
          <w:smallCaps w:val="0"/>
          <w:sz w:val="21"/>
          <w:szCs w:val="22"/>
        </w:rPr>
      </w:pPr>
      <w:r>
        <w:fldChar w:fldCharType="begin"/>
      </w:r>
      <w:r>
        <w:instrText xml:space="preserve"> HYPERLINK \l "_Toc3889188" </w:instrText>
      </w:r>
      <w:r>
        <w:fldChar w:fldCharType="separate"/>
      </w:r>
      <w:r>
        <w:rPr>
          <w:rStyle w:val="42"/>
        </w:rPr>
        <w:t>第十条</w:t>
      </w:r>
      <w:r>
        <w:rPr>
          <w:rFonts w:cstheme="minorBidi"/>
          <w:smallCaps w:val="0"/>
          <w:sz w:val="21"/>
          <w:szCs w:val="22"/>
        </w:rPr>
        <w:tab/>
      </w:r>
      <w:r>
        <w:rPr>
          <w:rStyle w:val="42"/>
        </w:rPr>
        <w:t>指导思想</w:t>
      </w:r>
      <w:r>
        <w:tab/>
      </w:r>
      <w:r>
        <w:fldChar w:fldCharType="begin"/>
      </w:r>
      <w:r>
        <w:instrText xml:space="preserve"> PAGEREF _Toc3889188 \h </w:instrText>
      </w:r>
      <w:r>
        <w:fldChar w:fldCharType="separate"/>
      </w:r>
      <w:r>
        <w:t>11</w:t>
      </w:r>
      <w:r>
        <w:fldChar w:fldCharType="end"/>
      </w:r>
      <w:r>
        <w:fldChar w:fldCharType="end"/>
      </w:r>
    </w:p>
    <w:p>
      <w:pPr>
        <w:pStyle w:val="32"/>
        <w:rPr>
          <w:rFonts w:cstheme="minorBidi"/>
          <w:smallCaps w:val="0"/>
          <w:sz w:val="21"/>
          <w:szCs w:val="22"/>
        </w:rPr>
      </w:pPr>
      <w:r>
        <w:fldChar w:fldCharType="begin"/>
      </w:r>
      <w:r>
        <w:instrText xml:space="preserve"> HYPERLINK \l "_Toc3889189" </w:instrText>
      </w:r>
      <w:r>
        <w:fldChar w:fldCharType="separate"/>
      </w:r>
      <w:r>
        <w:rPr>
          <w:rStyle w:val="42"/>
        </w:rPr>
        <w:t>第十一条</w:t>
      </w:r>
      <w:r>
        <w:rPr>
          <w:rFonts w:cstheme="minorBidi"/>
          <w:smallCaps w:val="0"/>
          <w:sz w:val="21"/>
          <w:szCs w:val="22"/>
        </w:rPr>
        <w:tab/>
      </w:r>
      <w:r>
        <w:rPr>
          <w:rStyle w:val="42"/>
        </w:rPr>
        <w:t>保护原则</w:t>
      </w:r>
      <w:r>
        <w:tab/>
      </w:r>
      <w:r>
        <w:fldChar w:fldCharType="begin"/>
      </w:r>
      <w:r>
        <w:instrText xml:space="preserve"> PAGEREF _Toc3889189 \h </w:instrText>
      </w:r>
      <w:r>
        <w:fldChar w:fldCharType="separate"/>
      </w:r>
      <w:r>
        <w:t>11</w:t>
      </w:r>
      <w:r>
        <w:fldChar w:fldCharType="end"/>
      </w:r>
      <w:r>
        <w:fldChar w:fldCharType="end"/>
      </w:r>
    </w:p>
    <w:p>
      <w:pPr>
        <w:pStyle w:val="32"/>
        <w:rPr>
          <w:rFonts w:cstheme="minorBidi"/>
          <w:smallCaps w:val="0"/>
          <w:sz w:val="21"/>
          <w:szCs w:val="22"/>
        </w:rPr>
      </w:pPr>
      <w:r>
        <w:fldChar w:fldCharType="begin"/>
      </w:r>
      <w:r>
        <w:instrText xml:space="preserve"> HYPERLINK \l "_Toc3889190" </w:instrText>
      </w:r>
      <w:r>
        <w:fldChar w:fldCharType="separate"/>
      </w:r>
      <w:r>
        <w:rPr>
          <w:rStyle w:val="42"/>
        </w:rPr>
        <w:t>第十二条</w:t>
      </w:r>
      <w:r>
        <w:rPr>
          <w:rFonts w:cstheme="minorBidi"/>
          <w:smallCaps w:val="0"/>
          <w:sz w:val="21"/>
          <w:szCs w:val="22"/>
        </w:rPr>
        <w:tab/>
      </w:r>
      <w:r>
        <w:rPr>
          <w:rStyle w:val="42"/>
        </w:rPr>
        <w:t>保护框架</w:t>
      </w:r>
      <w:r>
        <w:tab/>
      </w:r>
      <w:r>
        <w:fldChar w:fldCharType="begin"/>
      </w:r>
      <w:r>
        <w:instrText xml:space="preserve"> PAGEREF _Toc3889190 \h </w:instrText>
      </w:r>
      <w:r>
        <w:fldChar w:fldCharType="separate"/>
      </w:r>
      <w:r>
        <w:t>12</w:t>
      </w:r>
      <w:r>
        <w:fldChar w:fldCharType="end"/>
      </w:r>
      <w:r>
        <w:fldChar w:fldCharType="end"/>
      </w:r>
    </w:p>
    <w:p>
      <w:pPr>
        <w:pStyle w:val="32"/>
        <w:rPr>
          <w:rFonts w:cstheme="minorBidi"/>
          <w:smallCaps w:val="0"/>
          <w:sz w:val="21"/>
          <w:szCs w:val="22"/>
        </w:rPr>
      </w:pPr>
      <w:r>
        <w:fldChar w:fldCharType="begin"/>
      </w:r>
      <w:r>
        <w:instrText xml:space="preserve"> HYPERLINK \l "_Toc3889191" </w:instrText>
      </w:r>
      <w:r>
        <w:fldChar w:fldCharType="separate"/>
      </w:r>
      <w:r>
        <w:rPr>
          <w:rStyle w:val="42"/>
        </w:rPr>
        <w:t>第十三条</w:t>
      </w:r>
      <w:r>
        <w:rPr>
          <w:rFonts w:cstheme="minorBidi"/>
          <w:smallCaps w:val="0"/>
          <w:sz w:val="21"/>
          <w:szCs w:val="22"/>
        </w:rPr>
        <w:tab/>
      </w:r>
      <w:r>
        <w:rPr>
          <w:rStyle w:val="42"/>
        </w:rPr>
        <w:t>保护重点</w:t>
      </w:r>
      <w:r>
        <w:tab/>
      </w:r>
      <w:r>
        <w:fldChar w:fldCharType="begin"/>
      </w:r>
      <w:r>
        <w:instrText xml:space="preserve"> PAGEREF _Toc3889191 \h </w:instrText>
      </w:r>
      <w:r>
        <w:fldChar w:fldCharType="separate"/>
      </w:r>
      <w:r>
        <w:t>12</w:t>
      </w:r>
      <w:r>
        <w:fldChar w:fldCharType="end"/>
      </w:r>
      <w:r>
        <w:fldChar w:fldCharType="end"/>
      </w:r>
    </w:p>
    <w:p>
      <w:pPr>
        <w:pStyle w:val="32"/>
        <w:rPr>
          <w:rFonts w:cstheme="minorBidi"/>
          <w:smallCaps w:val="0"/>
          <w:sz w:val="21"/>
          <w:szCs w:val="22"/>
        </w:rPr>
      </w:pPr>
      <w:r>
        <w:fldChar w:fldCharType="begin"/>
      </w:r>
      <w:r>
        <w:instrText xml:space="preserve"> HYPERLINK \l "_Toc3889192" </w:instrText>
      </w:r>
      <w:r>
        <w:fldChar w:fldCharType="separate"/>
      </w:r>
      <w:r>
        <w:rPr>
          <w:rStyle w:val="42"/>
        </w:rPr>
        <w:t>第十四条</w:t>
      </w:r>
      <w:r>
        <w:rPr>
          <w:rFonts w:cstheme="minorBidi"/>
          <w:smallCaps w:val="0"/>
          <w:sz w:val="21"/>
          <w:szCs w:val="22"/>
        </w:rPr>
        <w:tab/>
      </w:r>
      <w:r>
        <w:rPr>
          <w:rStyle w:val="42"/>
        </w:rPr>
        <w:t>总体保护要求</w:t>
      </w:r>
      <w:r>
        <w:tab/>
      </w:r>
      <w:r>
        <w:fldChar w:fldCharType="begin"/>
      </w:r>
      <w:r>
        <w:instrText xml:space="preserve"> PAGEREF _Toc3889192 \h </w:instrText>
      </w:r>
      <w:r>
        <w:fldChar w:fldCharType="separate"/>
      </w:r>
      <w:r>
        <w:t>12</w:t>
      </w:r>
      <w:r>
        <w:fldChar w:fldCharType="end"/>
      </w:r>
      <w:r>
        <w:fldChar w:fldCharType="end"/>
      </w:r>
    </w:p>
    <w:p>
      <w:pPr>
        <w:pStyle w:val="27"/>
        <w:rPr>
          <w:rFonts w:cstheme="minorBidi"/>
          <w:b w:val="0"/>
          <w:bCs w:val="0"/>
          <w:caps w:val="0"/>
          <w:sz w:val="21"/>
          <w:szCs w:val="22"/>
        </w:rPr>
      </w:pPr>
      <w:r>
        <w:fldChar w:fldCharType="begin"/>
      </w:r>
      <w:r>
        <w:instrText xml:space="preserve"> HYPERLINK \l "_Toc3889193" </w:instrText>
      </w:r>
      <w:r>
        <w:fldChar w:fldCharType="separate"/>
      </w:r>
      <w:r>
        <w:rPr>
          <w:rStyle w:val="42"/>
        </w:rPr>
        <w:t>第四章</w:t>
      </w:r>
      <w:r>
        <w:rPr>
          <w:rFonts w:cstheme="minorBidi"/>
          <w:b w:val="0"/>
          <w:bCs w:val="0"/>
          <w:caps w:val="0"/>
          <w:sz w:val="21"/>
          <w:szCs w:val="22"/>
        </w:rPr>
        <w:tab/>
      </w:r>
      <w:r>
        <w:rPr>
          <w:rStyle w:val="42"/>
        </w:rPr>
        <w:t>县域历史文化保护</w:t>
      </w:r>
      <w:r>
        <w:tab/>
      </w:r>
      <w:r>
        <w:fldChar w:fldCharType="begin"/>
      </w:r>
      <w:r>
        <w:instrText xml:space="preserve"> PAGEREF _Toc3889193 \h </w:instrText>
      </w:r>
      <w:r>
        <w:fldChar w:fldCharType="separate"/>
      </w:r>
      <w:r>
        <w:t>12</w:t>
      </w:r>
      <w:r>
        <w:fldChar w:fldCharType="end"/>
      </w:r>
      <w:r>
        <w:fldChar w:fldCharType="end"/>
      </w:r>
    </w:p>
    <w:p>
      <w:pPr>
        <w:pStyle w:val="32"/>
        <w:rPr>
          <w:rFonts w:cstheme="minorBidi"/>
          <w:smallCaps w:val="0"/>
          <w:sz w:val="21"/>
          <w:szCs w:val="22"/>
        </w:rPr>
      </w:pPr>
      <w:r>
        <w:fldChar w:fldCharType="begin"/>
      </w:r>
      <w:r>
        <w:instrText xml:space="preserve"> HYPERLINK \l "_Toc3889194" </w:instrText>
      </w:r>
      <w:r>
        <w:fldChar w:fldCharType="separate"/>
      </w:r>
      <w:r>
        <w:rPr>
          <w:rStyle w:val="42"/>
        </w:rPr>
        <w:t>第十五条</w:t>
      </w:r>
      <w:r>
        <w:rPr>
          <w:rFonts w:cstheme="minorBidi"/>
          <w:smallCaps w:val="0"/>
          <w:sz w:val="21"/>
          <w:szCs w:val="22"/>
        </w:rPr>
        <w:tab/>
      </w:r>
      <w:r>
        <w:rPr>
          <w:rStyle w:val="42"/>
        </w:rPr>
        <w:t>县域历史文化保护结构</w:t>
      </w:r>
      <w:r>
        <w:tab/>
      </w:r>
      <w:r>
        <w:fldChar w:fldCharType="begin"/>
      </w:r>
      <w:r>
        <w:instrText xml:space="preserve"> PAGEREF _Toc3889194 \h </w:instrText>
      </w:r>
      <w:r>
        <w:fldChar w:fldCharType="separate"/>
      </w:r>
      <w:r>
        <w:t>12</w:t>
      </w:r>
      <w:r>
        <w:fldChar w:fldCharType="end"/>
      </w:r>
      <w:r>
        <w:fldChar w:fldCharType="end"/>
      </w:r>
    </w:p>
    <w:p>
      <w:pPr>
        <w:pStyle w:val="32"/>
        <w:rPr>
          <w:rFonts w:cstheme="minorBidi"/>
          <w:smallCaps w:val="0"/>
          <w:sz w:val="21"/>
          <w:szCs w:val="22"/>
        </w:rPr>
      </w:pPr>
      <w:r>
        <w:fldChar w:fldCharType="begin"/>
      </w:r>
      <w:r>
        <w:instrText xml:space="preserve"> HYPERLINK \l "_Toc3889195" </w:instrText>
      </w:r>
      <w:r>
        <w:fldChar w:fldCharType="separate"/>
      </w:r>
      <w:r>
        <w:rPr>
          <w:rStyle w:val="42"/>
        </w:rPr>
        <w:t>第十六条</w:t>
      </w:r>
      <w:r>
        <w:rPr>
          <w:rFonts w:cstheme="minorBidi"/>
          <w:smallCaps w:val="0"/>
          <w:sz w:val="21"/>
          <w:szCs w:val="22"/>
        </w:rPr>
        <w:tab/>
      </w:r>
      <w:r>
        <w:rPr>
          <w:rStyle w:val="42"/>
        </w:rPr>
        <w:t>保护内容</w:t>
      </w:r>
      <w:r>
        <w:tab/>
      </w:r>
      <w:r>
        <w:fldChar w:fldCharType="begin"/>
      </w:r>
      <w:r>
        <w:instrText xml:space="preserve"> PAGEREF _Toc3889195 \h </w:instrText>
      </w:r>
      <w:r>
        <w:fldChar w:fldCharType="separate"/>
      </w:r>
      <w:r>
        <w:t>12</w:t>
      </w:r>
      <w:r>
        <w:fldChar w:fldCharType="end"/>
      </w:r>
      <w:r>
        <w:fldChar w:fldCharType="end"/>
      </w:r>
    </w:p>
    <w:p>
      <w:pPr>
        <w:pStyle w:val="32"/>
        <w:rPr>
          <w:rFonts w:cstheme="minorBidi"/>
          <w:smallCaps w:val="0"/>
          <w:sz w:val="21"/>
          <w:szCs w:val="22"/>
        </w:rPr>
      </w:pPr>
      <w:r>
        <w:fldChar w:fldCharType="begin"/>
      </w:r>
      <w:r>
        <w:instrText xml:space="preserve"> HYPERLINK \l "_Toc3889196" </w:instrText>
      </w:r>
      <w:r>
        <w:fldChar w:fldCharType="separate"/>
      </w:r>
      <w:r>
        <w:rPr>
          <w:rStyle w:val="42"/>
        </w:rPr>
        <w:t>第十七条</w:t>
      </w:r>
      <w:r>
        <w:rPr>
          <w:rFonts w:cstheme="minorBidi"/>
          <w:smallCaps w:val="0"/>
          <w:sz w:val="21"/>
          <w:szCs w:val="22"/>
        </w:rPr>
        <w:tab/>
      </w:r>
      <w:r>
        <w:rPr>
          <w:rStyle w:val="42"/>
        </w:rPr>
        <w:t>世界遗产——蜀道（米仓道）保护引导</w:t>
      </w:r>
      <w:r>
        <w:tab/>
      </w:r>
      <w:r>
        <w:fldChar w:fldCharType="begin"/>
      </w:r>
      <w:r>
        <w:instrText xml:space="preserve"> PAGEREF _Toc3889196 \h </w:instrText>
      </w:r>
      <w:r>
        <w:fldChar w:fldCharType="separate"/>
      </w:r>
      <w:r>
        <w:t>12</w:t>
      </w:r>
      <w:r>
        <w:fldChar w:fldCharType="end"/>
      </w:r>
      <w:r>
        <w:fldChar w:fldCharType="end"/>
      </w:r>
    </w:p>
    <w:p>
      <w:pPr>
        <w:pStyle w:val="32"/>
        <w:rPr>
          <w:rFonts w:cstheme="minorBidi"/>
          <w:smallCaps w:val="0"/>
          <w:sz w:val="21"/>
          <w:szCs w:val="22"/>
        </w:rPr>
      </w:pPr>
      <w:r>
        <w:fldChar w:fldCharType="begin"/>
      </w:r>
      <w:r>
        <w:instrText xml:space="preserve"> HYPERLINK \l "_Toc3889197" </w:instrText>
      </w:r>
      <w:r>
        <w:fldChar w:fldCharType="separate"/>
      </w:r>
      <w:r>
        <w:rPr>
          <w:rStyle w:val="42"/>
        </w:rPr>
        <w:t>第十八条</w:t>
      </w:r>
      <w:r>
        <w:rPr>
          <w:rFonts w:cstheme="minorBidi"/>
          <w:smallCaps w:val="0"/>
          <w:sz w:val="21"/>
          <w:szCs w:val="22"/>
        </w:rPr>
        <w:tab/>
      </w:r>
      <w:r>
        <w:rPr>
          <w:rStyle w:val="42"/>
        </w:rPr>
        <w:t>历史文化名镇保护引导</w:t>
      </w:r>
      <w:r>
        <w:tab/>
      </w:r>
      <w:r>
        <w:fldChar w:fldCharType="begin"/>
      </w:r>
      <w:r>
        <w:instrText xml:space="preserve"> PAGEREF _Toc3889197 \h </w:instrText>
      </w:r>
      <w:r>
        <w:fldChar w:fldCharType="separate"/>
      </w:r>
      <w:r>
        <w:t>13</w:t>
      </w:r>
      <w:r>
        <w:fldChar w:fldCharType="end"/>
      </w:r>
      <w:r>
        <w:fldChar w:fldCharType="end"/>
      </w:r>
    </w:p>
    <w:p>
      <w:pPr>
        <w:pStyle w:val="32"/>
        <w:rPr>
          <w:rFonts w:cstheme="minorBidi"/>
          <w:smallCaps w:val="0"/>
          <w:sz w:val="21"/>
          <w:szCs w:val="22"/>
        </w:rPr>
      </w:pPr>
      <w:r>
        <w:fldChar w:fldCharType="begin"/>
      </w:r>
      <w:r>
        <w:instrText xml:space="preserve"> HYPERLINK \l "_Toc3889198" </w:instrText>
      </w:r>
      <w:r>
        <w:fldChar w:fldCharType="separate"/>
      </w:r>
      <w:r>
        <w:rPr>
          <w:rStyle w:val="42"/>
        </w:rPr>
        <w:t>第十九条</w:t>
      </w:r>
      <w:r>
        <w:rPr>
          <w:rFonts w:cstheme="minorBidi"/>
          <w:smallCaps w:val="0"/>
          <w:sz w:val="21"/>
          <w:szCs w:val="22"/>
        </w:rPr>
        <w:tab/>
      </w:r>
      <w:r>
        <w:rPr>
          <w:rStyle w:val="42"/>
        </w:rPr>
        <w:t>传统村落保护</w:t>
      </w:r>
      <w:r>
        <w:tab/>
      </w:r>
      <w:r>
        <w:fldChar w:fldCharType="begin"/>
      </w:r>
      <w:r>
        <w:instrText xml:space="preserve"> PAGEREF _Toc3889198 \h </w:instrText>
      </w:r>
      <w:r>
        <w:fldChar w:fldCharType="separate"/>
      </w:r>
      <w:r>
        <w:t>13</w:t>
      </w:r>
      <w:r>
        <w:fldChar w:fldCharType="end"/>
      </w:r>
      <w:r>
        <w:fldChar w:fldCharType="end"/>
      </w:r>
    </w:p>
    <w:p>
      <w:pPr>
        <w:pStyle w:val="32"/>
        <w:rPr>
          <w:rFonts w:cstheme="minorBidi"/>
          <w:smallCaps w:val="0"/>
          <w:sz w:val="21"/>
          <w:szCs w:val="22"/>
        </w:rPr>
      </w:pPr>
      <w:r>
        <w:fldChar w:fldCharType="begin"/>
      </w:r>
      <w:r>
        <w:instrText xml:space="preserve"> HYPERLINK \l "_Toc3889199" </w:instrText>
      </w:r>
      <w:r>
        <w:fldChar w:fldCharType="separate"/>
      </w:r>
      <w:r>
        <w:rPr>
          <w:rStyle w:val="42"/>
        </w:rPr>
        <w:t>第二十条</w:t>
      </w:r>
      <w:r>
        <w:rPr>
          <w:rFonts w:cstheme="minorBidi"/>
          <w:smallCaps w:val="0"/>
          <w:sz w:val="21"/>
          <w:szCs w:val="22"/>
        </w:rPr>
        <w:tab/>
      </w:r>
      <w:r>
        <w:rPr>
          <w:rStyle w:val="42"/>
        </w:rPr>
        <w:t>县域文物古迹保护</w:t>
      </w:r>
      <w:r>
        <w:tab/>
      </w:r>
      <w:r>
        <w:fldChar w:fldCharType="begin"/>
      </w:r>
      <w:r>
        <w:instrText xml:space="preserve"> PAGEREF _Toc3889199 \h </w:instrText>
      </w:r>
      <w:r>
        <w:fldChar w:fldCharType="separate"/>
      </w:r>
      <w:r>
        <w:t>14</w:t>
      </w:r>
      <w:r>
        <w:fldChar w:fldCharType="end"/>
      </w:r>
      <w:r>
        <w:fldChar w:fldCharType="end"/>
      </w:r>
    </w:p>
    <w:p>
      <w:pPr>
        <w:pStyle w:val="32"/>
        <w:rPr>
          <w:rFonts w:cstheme="minorBidi"/>
          <w:smallCaps w:val="0"/>
          <w:sz w:val="21"/>
          <w:szCs w:val="22"/>
        </w:rPr>
      </w:pPr>
      <w:r>
        <w:fldChar w:fldCharType="begin"/>
      </w:r>
      <w:r>
        <w:instrText xml:space="preserve"> HYPERLINK \l "_Toc3889200" </w:instrText>
      </w:r>
      <w:r>
        <w:fldChar w:fldCharType="separate"/>
      </w:r>
      <w:r>
        <w:rPr>
          <w:rStyle w:val="42"/>
        </w:rPr>
        <w:t>第二十一条</w:t>
      </w:r>
      <w:r>
        <w:rPr>
          <w:rFonts w:cstheme="minorBidi"/>
          <w:smallCaps w:val="0"/>
          <w:sz w:val="21"/>
          <w:szCs w:val="22"/>
        </w:rPr>
        <w:tab/>
      </w:r>
      <w:r>
        <w:rPr>
          <w:rStyle w:val="42"/>
        </w:rPr>
        <w:t>自然山水环境保护</w:t>
      </w:r>
      <w:r>
        <w:tab/>
      </w:r>
      <w:r>
        <w:fldChar w:fldCharType="begin"/>
      </w:r>
      <w:r>
        <w:instrText xml:space="preserve"> PAGEREF _Toc3889200 \h </w:instrText>
      </w:r>
      <w:r>
        <w:fldChar w:fldCharType="separate"/>
      </w:r>
      <w:r>
        <w:t>14</w:t>
      </w:r>
      <w:r>
        <w:fldChar w:fldCharType="end"/>
      </w:r>
      <w:r>
        <w:fldChar w:fldCharType="end"/>
      </w:r>
    </w:p>
    <w:p>
      <w:pPr>
        <w:pStyle w:val="32"/>
        <w:rPr>
          <w:rFonts w:cstheme="minorBidi"/>
          <w:smallCaps w:val="0"/>
          <w:sz w:val="21"/>
          <w:szCs w:val="22"/>
        </w:rPr>
      </w:pPr>
      <w:r>
        <w:fldChar w:fldCharType="begin"/>
      </w:r>
      <w:r>
        <w:instrText xml:space="preserve"> HYPERLINK \l "_Toc3889201" </w:instrText>
      </w:r>
      <w:r>
        <w:fldChar w:fldCharType="separate"/>
      </w:r>
      <w:r>
        <w:rPr>
          <w:rStyle w:val="42"/>
        </w:rPr>
        <w:t>第二十二条</w:t>
      </w:r>
      <w:r>
        <w:rPr>
          <w:rFonts w:cstheme="minorBidi"/>
          <w:smallCaps w:val="0"/>
          <w:sz w:val="21"/>
          <w:szCs w:val="22"/>
        </w:rPr>
        <w:tab/>
      </w:r>
      <w:r>
        <w:rPr>
          <w:rStyle w:val="42"/>
        </w:rPr>
        <w:t>风景名胜区保护</w:t>
      </w:r>
      <w:r>
        <w:tab/>
      </w:r>
      <w:r>
        <w:fldChar w:fldCharType="begin"/>
      </w:r>
      <w:r>
        <w:instrText xml:space="preserve"> PAGEREF _Toc3889201 \h </w:instrText>
      </w:r>
      <w:r>
        <w:fldChar w:fldCharType="separate"/>
      </w:r>
      <w:r>
        <w:t>14</w:t>
      </w:r>
      <w:r>
        <w:fldChar w:fldCharType="end"/>
      </w:r>
      <w:r>
        <w:fldChar w:fldCharType="end"/>
      </w:r>
    </w:p>
    <w:p>
      <w:pPr>
        <w:pStyle w:val="32"/>
        <w:rPr>
          <w:rFonts w:cstheme="minorBidi"/>
          <w:smallCaps w:val="0"/>
          <w:sz w:val="21"/>
          <w:szCs w:val="22"/>
        </w:rPr>
      </w:pPr>
      <w:r>
        <w:fldChar w:fldCharType="begin"/>
      </w:r>
      <w:r>
        <w:instrText xml:space="preserve"> HYPERLINK \l "_Toc3889202" </w:instrText>
      </w:r>
      <w:r>
        <w:fldChar w:fldCharType="separate"/>
      </w:r>
      <w:r>
        <w:rPr>
          <w:rStyle w:val="42"/>
        </w:rPr>
        <w:t>第二十三条</w:t>
      </w:r>
      <w:r>
        <w:rPr>
          <w:rFonts w:cstheme="minorBidi"/>
          <w:smallCaps w:val="0"/>
          <w:sz w:val="21"/>
          <w:szCs w:val="22"/>
        </w:rPr>
        <w:tab/>
      </w:r>
      <w:r>
        <w:rPr>
          <w:rStyle w:val="42"/>
        </w:rPr>
        <w:t>自然保护区</w:t>
      </w:r>
      <w:r>
        <w:tab/>
      </w:r>
      <w:r>
        <w:fldChar w:fldCharType="begin"/>
      </w:r>
      <w:r>
        <w:instrText xml:space="preserve"> PAGEREF _Toc3889202 \h </w:instrText>
      </w:r>
      <w:r>
        <w:fldChar w:fldCharType="separate"/>
      </w:r>
      <w:r>
        <w:t>15</w:t>
      </w:r>
      <w:r>
        <w:fldChar w:fldCharType="end"/>
      </w:r>
      <w:r>
        <w:fldChar w:fldCharType="end"/>
      </w:r>
    </w:p>
    <w:p>
      <w:pPr>
        <w:pStyle w:val="32"/>
        <w:rPr>
          <w:rFonts w:cstheme="minorBidi"/>
          <w:smallCaps w:val="0"/>
          <w:sz w:val="21"/>
          <w:szCs w:val="22"/>
        </w:rPr>
      </w:pPr>
      <w:r>
        <w:fldChar w:fldCharType="begin"/>
      </w:r>
      <w:r>
        <w:instrText xml:space="preserve"> HYPERLINK \l "_Toc3889203" </w:instrText>
      </w:r>
      <w:r>
        <w:fldChar w:fldCharType="separate"/>
      </w:r>
      <w:r>
        <w:rPr>
          <w:rStyle w:val="42"/>
        </w:rPr>
        <w:t>第二十四条</w:t>
      </w:r>
      <w:r>
        <w:rPr>
          <w:rFonts w:cstheme="minorBidi"/>
          <w:smallCaps w:val="0"/>
          <w:sz w:val="21"/>
          <w:szCs w:val="22"/>
        </w:rPr>
        <w:tab/>
      </w:r>
      <w:r>
        <w:rPr>
          <w:rStyle w:val="42"/>
        </w:rPr>
        <w:t>森林公园</w:t>
      </w:r>
      <w:r>
        <w:tab/>
      </w:r>
      <w:r>
        <w:fldChar w:fldCharType="begin"/>
      </w:r>
      <w:r>
        <w:instrText xml:space="preserve"> PAGEREF _Toc3889203 \h </w:instrText>
      </w:r>
      <w:r>
        <w:fldChar w:fldCharType="separate"/>
      </w:r>
      <w:r>
        <w:t>15</w:t>
      </w:r>
      <w:r>
        <w:fldChar w:fldCharType="end"/>
      </w:r>
      <w:r>
        <w:fldChar w:fldCharType="end"/>
      </w:r>
    </w:p>
    <w:p>
      <w:pPr>
        <w:pStyle w:val="27"/>
        <w:rPr>
          <w:rFonts w:cstheme="minorBidi"/>
          <w:b w:val="0"/>
          <w:bCs w:val="0"/>
          <w:caps w:val="0"/>
          <w:sz w:val="21"/>
          <w:szCs w:val="22"/>
        </w:rPr>
      </w:pPr>
      <w:r>
        <w:fldChar w:fldCharType="begin"/>
      </w:r>
      <w:r>
        <w:instrText xml:space="preserve"> HYPERLINK \l "_Toc3889204" </w:instrText>
      </w:r>
      <w:r>
        <w:fldChar w:fldCharType="separate"/>
      </w:r>
      <w:r>
        <w:rPr>
          <w:rStyle w:val="42"/>
        </w:rPr>
        <w:t>第五章</w:t>
      </w:r>
      <w:r>
        <w:rPr>
          <w:rFonts w:cstheme="minorBidi"/>
          <w:b w:val="0"/>
          <w:bCs w:val="0"/>
          <w:caps w:val="0"/>
          <w:sz w:val="21"/>
          <w:szCs w:val="22"/>
        </w:rPr>
        <w:tab/>
      </w:r>
      <w:r>
        <w:rPr>
          <w:rStyle w:val="42"/>
        </w:rPr>
        <w:t>中心城区历史文化保护</w:t>
      </w:r>
      <w:r>
        <w:tab/>
      </w:r>
      <w:r>
        <w:fldChar w:fldCharType="begin"/>
      </w:r>
      <w:r>
        <w:instrText xml:space="preserve"> PAGEREF _Toc3889204 \h </w:instrText>
      </w:r>
      <w:r>
        <w:fldChar w:fldCharType="separate"/>
      </w:r>
      <w:r>
        <w:t>15</w:t>
      </w:r>
      <w:r>
        <w:fldChar w:fldCharType="end"/>
      </w:r>
      <w:r>
        <w:fldChar w:fldCharType="end"/>
      </w:r>
    </w:p>
    <w:p>
      <w:pPr>
        <w:pStyle w:val="32"/>
        <w:rPr>
          <w:rFonts w:cstheme="minorBidi"/>
          <w:smallCaps w:val="0"/>
          <w:sz w:val="21"/>
          <w:szCs w:val="22"/>
        </w:rPr>
      </w:pPr>
      <w:r>
        <w:fldChar w:fldCharType="begin"/>
      </w:r>
      <w:r>
        <w:instrText xml:space="preserve"> HYPERLINK \l "_Toc3889205" </w:instrText>
      </w:r>
      <w:r>
        <w:fldChar w:fldCharType="separate"/>
      </w:r>
      <w:r>
        <w:rPr>
          <w:rStyle w:val="42"/>
        </w:rPr>
        <w:t>第二十五条</w:t>
      </w:r>
      <w:r>
        <w:rPr>
          <w:rFonts w:cstheme="minorBidi"/>
          <w:smallCaps w:val="0"/>
          <w:sz w:val="21"/>
          <w:szCs w:val="22"/>
        </w:rPr>
        <w:tab/>
      </w:r>
      <w:r>
        <w:rPr>
          <w:rStyle w:val="42"/>
        </w:rPr>
        <w:t>保护结构</w:t>
      </w:r>
      <w:r>
        <w:tab/>
      </w:r>
      <w:r>
        <w:fldChar w:fldCharType="begin"/>
      </w:r>
      <w:r>
        <w:instrText xml:space="preserve"> PAGEREF _Toc3889205 \h </w:instrText>
      </w:r>
      <w:r>
        <w:fldChar w:fldCharType="separate"/>
      </w:r>
      <w:r>
        <w:t>15</w:t>
      </w:r>
      <w:r>
        <w:fldChar w:fldCharType="end"/>
      </w:r>
      <w:r>
        <w:fldChar w:fldCharType="end"/>
      </w:r>
    </w:p>
    <w:p>
      <w:pPr>
        <w:pStyle w:val="32"/>
        <w:rPr>
          <w:rFonts w:cstheme="minorBidi"/>
          <w:smallCaps w:val="0"/>
          <w:sz w:val="21"/>
          <w:szCs w:val="22"/>
        </w:rPr>
      </w:pPr>
      <w:r>
        <w:fldChar w:fldCharType="begin"/>
      </w:r>
      <w:r>
        <w:instrText xml:space="preserve"> HYPERLINK \l "_Toc3889206" </w:instrText>
      </w:r>
      <w:r>
        <w:fldChar w:fldCharType="separate"/>
      </w:r>
      <w:r>
        <w:rPr>
          <w:rStyle w:val="42"/>
        </w:rPr>
        <w:t>第二十六条</w:t>
      </w:r>
      <w:r>
        <w:rPr>
          <w:rFonts w:cstheme="minorBidi"/>
          <w:smallCaps w:val="0"/>
          <w:sz w:val="21"/>
          <w:szCs w:val="22"/>
        </w:rPr>
        <w:tab/>
      </w:r>
      <w:r>
        <w:rPr>
          <w:rStyle w:val="42"/>
        </w:rPr>
        <w:t>城市总体布局</w:t>
      </w:r>
      <w:r>
        <w:tab/>
      </w:r>
      <w:r>
        <w:fldChar w:fldCharType="begin"/>
      </w:r>
      <w:r>
        <w:instrText xml:space="preserve"> PAGEREF _Toc3889206 \h </w:instrText>
      </w:r>
      <w:r>
        <w:fldChar w:fldCharType="separate"/>
      </w:r>
      <w:r>
        <w:t>15</w:t>
      </w:r>
      <w:r>
        <w:fldChar w:fldCharType="end"/>
      </w:r>
      <w:r>
        <w:fldChar w:fldCharType="end"/>
      </w:r>
    </w:p>
    <w:p>
      <w:pPr>
        <w:pStyle w:val="32"/>
        <w:rPr>
          <w:rFonts w:cstheme="minorBidi"/>
          <w:smallCaps w:val="0"/>
          <w:sz w:val="21"/>
          <w:szCs w:val="22"/>
        </w:rPr>
      </w:pPr>
      <w:r>
        <w:fldChar w:fldCharType="begin"/>
      </w:r>
      <w:r>
        <w:instrText xml:space="preserve"> HYPERLINK \l "_Toc3889207" </w:instrText>
      </w:r>
      <w:r>
        <w:fldChar w:fldCharType="separate"/>
      </w:r>
      <w:r>
        <w:rPr>
          <w:rStyle w:val="42"/>
        </w:rPr>
        <w:t>第二十七条</w:t>
      </w:r>
      <w:r>
        <w:rPr>
          <w:rFonts w:cstheme="minorBidi"/>
          <w:smallCaps w:val="0"/>
          <w:sz w:val="21"/>
          <w:szCs w:val="22"/>
        </w:rPr>
        <w:tab/>
      </w:r>
      <w:r>
        <w:rPr>
          <w:rStyle w:val="42"/>
        </w:rPr>
        <w:t>城市整体风貌控制</w:t>
      </w:r>
      <w:r>
        <w:tab/>
      </w:r>
      <w:r>
        <w:fldChar w:fldCharType="begin"/>
      </w:r>
      <w:r>
        <w:instrText xml:space="preserve"> PAGEREF _Toc3889207 \h </w:instrText>
      </w:r>
      <w:r>
        <w:fldChar w:fldCharType="separate"/>
      </w:r>
      <w:r>
        <w:t>15</w:t>
      </w:r>
      <w:r>
        <w:fldChar w:fldCharType="end"/>
      </w:r>
      <w:r>
        <w:fldChar w:fldCharType="end"/>
      </w:r>
    </w:p>
    <w:p>
      <w:pPr>
        <w:pStyle w:val="32"/>
        <w:rPr>
          <w:rFonts w:cstheme="minorBidi"/>
          <w:smallCaps w:val="0"/>
          <w:sz w:val="21"/>
          <w:szCs w:val="22"/>
        </w:rPr>
      </w:pPr>
      <w:r>
        <w:fldChar w:fldCharType="begin"/>
      </w:r>
      <w:r>
        <w:instrText xml:space="preserve"> HYPERLINK \l "_Toc3889208" </w:instrText>
      </w:r>
      <w:r>
        <w:fldChar w:fldCharType="separate"/>
      </w:r>
      <w:r>
        <w:rPr>
          <w:rStyle w:val="42"/>
        </w:rPr>
        <w:t>第二十八条</w:t>
      </w:r>
      <w:r>
        <w:rPr>
          <w:rFonts w:cstheme="minorBidi"/>
          <w:smallCaps w:val="0"/>
          <w:sz w:val="21"/>
          <w:szCs w:val="22"/>
        </w:rPr>
        <w:tab/>
      </w:r>
      <w:r>
        <w:rPr>
          <w:rStyle w:val="42"/>
        </w:rPr>
        <w:t>红军城遗址群保护</w:t>
      </w:r>
      <w:r>
        <w:tab/>
      </w:r>
      <w:r>
        <w:fldChar w:fldCharType="begin"/>
      </w:r>
      <w:r>
        <w:instrText xml:space="preserve"> PAGEREF _Toc3889208 \h </w:instrText>
      </w:r>
      <w:r>
        <w:fldChar w:fldCharType="separate"/>
      </w:r>
      <w:r>
        <w:t>16</w:t>
      </w:r>
      <w:r>
        <w:fldChar w:fldCharType="end"/>
      </w:r>
      <w:r>
        <w:fldChar w:fldCharType="end"/>
      </w:r>
    </w:p>
    <w:p>
      <w:pPr>
        <w:pStyle w:val="32"/>
        <w:rPr>
          <w:rFonts w:cstheme="minorBidi"/>
          <w:smallCaps w:val="0"/>
          <w:sz w:val="21"/>
          <w:szCs w:val="22"/>
        </w:rPr>
      </w:pPr>
      <w:r>
        <w:fldChar w:fldCharType="begin"/>
      </w:r>
      <w:r>
        <w:instrText xml:space="preserve"> HYPERLINK \l "_Toc3889209" </w:instrText>
      </w:r>
      <w:r>
        <w:fldChar w:fldCharType="separate"/>
      </w:r>
      <w:r>
        <w:rPr>
          <w:rStyle w:val="42"/>
        </w:rPr>
        <w:t>第二十九条</w:t>
      </w:r>
      <w:r>
        <w:rPr>
          <w:rFonts w:cstheme="minorBidi"/>
          <w:smallCaps w:val="0"/>
          <w:sz w:val="21"/>
          <w:szCs w:val="22"/>
        </w:rPr>
        <w:tab/>
      </w:r>
      <w:r>
        <w:rPr>
          <w:rStyle w:val="42"/>
        </w:rPr>
        <w:t>城市紫线管理</w:t>
      </w:r>
      <w:r>
        <w:tab/>
      </w:r>
      <w:r>
        <w:fldChar w:fldCharType="begin"/>
      </w:r>
      <w:r>
        <w:instrText xml:space="preserve"> PAGEREF _Toc3889209 \h </w:instrText>
      </w:r>
      <w:r>
        <w:fldChar w:fldCharType="separate"/>
      </w:r>
      <w:r>
        <w:t>17</w:t>
      </w:r>
      <w:r>
        <w:fldChar w:fldCharType="end"/>
      </w:r>
      <w:r>
        <w:fldChar w:fldCharType="end"/>
      </w:r>
    </w:p>
    <w:p>
      <w:pPr>
        <w:pStyle w:val="27"/>
        <w:rPr>
          <w:rFonts w:cstheme="minorBidi"/>
          <w:b w:val="0"/>
          <w:bCs w:val="0"/>
          <w:caps w:val="0"/>
          <w:sz w:val="21"/>
          <w:szCs w:val="22"/>
        </w:rPr>
      </w:pPr>
      <w:r>
        <w:fldChar w:fldCharType="begin"/>
      </w:r>
      <w:r>
        <w:instrText xml:space="preserve"> HYPERLINK \l "_Toc3889210" </w:instrText>
      </w:r>
      <w:r>
        <w:fldChar w:fldCharType="separate"/>
      </w:r>
      <w:r>
        <w:rPr>
          <w:rStyle w:val="42"/>
        </w:rPr>
        <w:t>第六章</w:t>
      </w:r>
      <w:r>
        <w:rPr>
          <w:rFonts w:cstheme="minorBidi"/>
          <w:b w:val="0"/>
          <w:bCs w:val="0"/>
          <w:caps w:val="0"/>
          <w:sz w:val="21"/>
          <w:szCs w:val="22"/>
        </w:rPr>
        <w:tab/>
      </w:r>
      <w:r>
        <w:rPr>
          <w:rStyle w:val="42"/>
        </w:rPr>
        <w:t>历史城区保护</w:t>
      </w:r>
      <w:r>
        <w:tab/>
      </w:r>
      <w:r>
        <w:fldChar w:fldCharType="begin"/>
      </w:r>
      <w:r>
        <w:instrText xml:space="preserve"> PAGEREF _Toc3889210 \h </w:instrText>
      </w:r>
      <w:r>
        <w:fldChar w:fldCharType="separate"/>
      </w:r>
      <w:r>
        <w:t>17</w:t>
      </w:r>
      <w:r>
        <w:fldChar w:fldCharType="end"/>
      </w:r>
      <w:r>
        <w:fldChar w:fldCharType="end"/>
      </w:r>
    </w:p>
    <w:p>
      <w:pPr>
        <w:pStyle w:val="32"/>
        <w:rPr>
          <w:rFonts w:cstheme="minorBidi"/>
          <w:smallCaps w:val="0"/>
          <w:sz w:val="21"/>
          <w:szCs w:val="22"/>
        </w:rPr>
      </w:pPr>
      <w:r>
        <w:fldChar w:fldCharType="begin"/>
      </w:r>
      <w:r>
        <w:instrText xml:space="preserve"> HYPERLINK \l "_Toc3889211" </w:instrText>
      </w:r>
      <w:r>
        <w:fldChar w:fldCharType="separate"/>
      </w:r>
      <w:r>
        <w:rPr>
          <w:rStyle w:val="42"/>
        </w:rPr>
        <w:t>第三十条</w:t>
      </w:r>
      <w:r>
        <w:rPr>
          <w:rFonts w:cstheme="minorBidi"/>
          <w:smallCaps w:val="0"/>
          <w:sz w:val="21"/>
          <w:szCs w:val="22"/>
        </w:rPr>
        <w:tab/>
      </w:r>
      <w:r>
        <w:rPr>
          <w:rStyle w:val="42"/>
        </w:rPr>
        <w:t>历史城区保护界线</w:t>
      </w:r>
      <w:r>
        <w:tab/>
      </w:r>
      <w:r>
        <w:fldChar w:fldCharType="begin"/>
      </w:r>
      <w:r>
        <w:instrText xml:space="preserve"> PAGEREF _Toc3889211 \h </w:instrText>
      </w:r>
      <w:r>
        <w:fldChar w:fldCharType="separate"/>
      </w:r>
      <w:r>
        <w:t>17</w:t>
      </w:r>
      <w:r>
        <w:fldChar w:fldCharType="end"/>
      </w:r>
      <w:r>
        <w:fldChar w:fldCharType="end"/>
      </w:r>
    </w:p>
    <w:p>
      <w:pPr>
        <w:pStyle w:val="32"/>
        <w:rPr>
          <w:rFonts w:cstheme="minorBidi"/>
          <w:smallCaps w:val="0"/>
          <w:sz w:val="21"/>
          <w:szCs w:val="22"/>
        </w:rPr>
      </w:pPr>
      <w:r>
        <w:fldChar w:fldCharType="begin"/>
      </w:r>
      <w:r>
        <w:instrText xml:space="preserve"> HYPERLINK \l "_Toc3889212" </w:instrText>
      </w:r>
      <w:r>
        <w:fldChar w:fldCharType="separate"/>
      </w:r>
      <w:r>
        <w:rPr>
          <w:rStyle w:val="42"/>
        </w:rPr>
        <w:t>第三十一条</w:t>
      </w:r>
      <w:r>
        <w:rPr>
          <w:rFonts w:cstheme="minorBidi"/>
          <w:smallCaps w:val="0"/>
          <w:sz w:val="21"/>
          <w:szCs w:val="22"/>
        </w:rPr>
        <w:tab/>
      </w:r>
      <w:r>
        <w:rPr>
          <w:rStyle w:val="42"/>
        </w:rPr>
        <w:t>保护要素</w:t>
      </w:r>
      <w:r>
        <w:tab/>
      </w:r>
      <w:r>
        <w:fldChar w:fldCharType="begin"/>
      </w:r>
      <w:r>
        <w:instrText xml:space="preserve"> PAGEREF _Toc3889212 \h </w:instrText>
      </w:r>
      <w:r>
        <w:fldChar w:fldCharType="separate"/>
      </w:r>
      <w:r>
        <w:t>17</w:t>
      </w:r>
      <w:r>
        <w:fldChar w:fldCharType="end"/>
      </w:r>
      <w:r>
        <w:fldChar w:fldCharType="end"/>
      </w:r>
    </w:p>
    <w:p>
      <w:pPr>
        <w:pStyle w:val="32"/>
        <w:rPr>
          <w:rFonts w:cstheme="minorBidi"/>
          <w:smallCaps w:val="0"/>
          <w:sz w:val="21"/>
          <w:szCs w:val="22"/>
        </w:rPr>
      </w:pPr>
      <w:r>
        <w:fldChar w:fldCharType="begin"/>
      </w:r>
      <w:r>
        <w:instrText xml:space="preserve"> HYPERLINK \l "_Toc3889213" </w:instrText>
      </w:r>
      <w:r>
        <w:fldChar w:fldCharType="separate"/>
      </w:r>
      <w:r>
        <w:rPr>
          <w:rStyle w:val="42"/>
        </w:rPr>
        <w:t>第三十二条</w:t>
      </w:r>
      <w:r>
        <w:rPr>
          <w:rFonts w:cstheme="minorBidi"/>
          <w:smallCaps w:val="0"/>
          <w:sz w:val="21"/>
          <w:szCs w:val="22"/>
        </w:rPr>
        <w:tab/>
      </w:r>
      <w:r>
        <w:rPr>
          <w:rStyle w:val="42"/>
        </w:rPr>
        <w:t>历史城区保护格局</w:t>
      </w:r>
      <w:r>
        <w:tab/>
      </w:r>
      <w:r>
        <w:fldChar w:fldCharType="begin"/>
      </w:r>
      <w:r>
        <w:instrText xml:space="preserve"> PAGEREF _Toc3889213 \h </w:instrText>
      </w:r>
      <w:r>
        <w:fldChar w:fldCharType="separate"/>
      </w:r>
      <w:r>
        <w:t>17</w:t>
      </w:r>
      <w:r>
        <w:fldChar w:fldCharType="end"/>
      </w:r>
      <w:r>
        <w:fldChar w:fldCharType="end"/>
      </w:r>
    </w:p>
    <w:p>
      <w:pPr>
        <w:pStyle w:val="32"/>
        <w:rPr>
          <w:rFonts w:cstheme="minorBidi"/>
          <w:smallCaps w:val="0"/>
          <w:sz w:val="21"/>
          <w:szCs w:val="22"/>
        </w:rPr>
      </w:pPr>
      <w:r>
        <w:fldChar w:fldCharType="begin"/>
      </w:r>
      <w:r>
        <w:instrText xml:space="preserve"> HYPERLINK \l "_Toc3889214" </w:instrText>
      </w:r>
      <w:r>
        <w:fldChar w:fldCharType="separate"/>
      </w:r>
      <w:r>
        <w:rPr>
          <w:rStyle w:val="42"/>
        </w:rPr>
        <w:t>第三十三条</w:t>
      </w:r>
      <w:r>
        <w:rPr>
          <w:rFonts w:cstheme="minorBidi"/>
          <w:smallCaps w:val="0"/>
          <w:sz w:val="21"/>
          <w:szCs w:val="22"/>
        </w:rPr>
        <w:tab/>
      </w:r>
      <w:r>
        <w:rPr>
          <w:rStyle w:val="42"/>
        </w:rPr>
        <w:t>鱼骨状传统街巷（格局）保护</w:t>
      </w:r>
      <w:r>
        <w:tab/>
      </w:r>
      <w:r>
        <w:fldChar w:fldCharType="begin"/>
      </w:r>
      <w:r>
        <w:instrText xml:space="preserve"> PAGEREF _Toc3889214 \h </w:instrText>
      </w:r>
      <w:r>
        <w:fldChar w:fldCharType="separate"/>
      </w:r>
      <w:r>
        <w:t>17</w:t>
      </w:r>
      <w:r>
        <w:fldChar w:fldCharType="end"/>
      </w:r>
      <w:r>
        <w:fldChar w:fldCharType="end"/>
      </w:r>
    </w:p>
    <w:p>
      <w:pPr>
        <w:pStyle w:val="32"/>
        <w:rPr>
          <w:rFonts w:cstheme="minorBidi"/>
          <w:smallCaps w:val="0"/>
          <w:sz w:val="21"/>
          <w:szCs w:val="22"/>
        </w:rPr>
      </w:pPr>
      <w:r>
        <w:fldChar w:fldCharType="begin"/>
      </w:r>
      <w:r>
        <w:instrText xml:space="preserve"> HYPERLINK \l "_Toc3889215" </w:instrText>
      </w:r>
      <w:r>
        <w:fldChar w:fldCharType="separate"/>
      </w:r>
      <w:r>
        <w:rPr>
          <w:rStyle w:val="42"/>
        </w:rPr>
        <w:t>第三十四条</w:t>
      </w:r>
      <w:r>
        <w:rPr>
          <w:rFonts w:cstheme="minorBidi"/>
          <w:smallCaps w:val="0"/>
          <w:sz w:val="21"/>
          <w:szCs w:val="22"/>
        </w:rPr>
        <w:tab/>
      </w:r>
      <w:r>
        <w:rPr>
          <w:rStyle w:val="42"/>
        </w:rPr>
        <w:t>建筑高度与视线通廊控制</w:t>
      </w:r>
      <w:r>
        <w:tab/>
      </w:r>
      <w:r>
        <w:fldChar w:fldCharType="begin"/>
      </w:r>
      <w:r>
        <w:instrText xml:space="preserve"> PAGEREF _Toc3889215 \h </w:instrText>
      </w:r>
      <w:r>
        <w:fldChar w:fldCharType="separate"/>
      </w:r>
      <w:r>
        <w:t>17</w:t>
      </w:r>
      <w:r>
        <w:fldChar w:fldCharType="end"/>
      </w:r>
      <w:r>
        <w:fldChar w:fldCharType="end"/>
      </w:r>
    </w:p>
    <w:p>
      <w:pPr>
        <w:pStyle w:val="32"/>
        <w:rPr>
          <w:rFonts w:cstheme="minorBidi"/>
          <w:smallCaps w:val="0"/>
          <w:sz w:val="21"/>
          <w:szCs w:val="22"/>
        </w:rPr>
      </w:pPr>
      <w:r>
        <w:fldChar w:fldCharType="begin"/>
      </w:r>
      <w:r>
        <w:instrText xml:space="preserve"> HYPERLINK \l "_Toc3889216" </w:instrText>
      </w:r>
      <w:r>
        <w:fldChar w:fldCharType="separate"/>
      </w:r>
      <w:r>
        <w:rPr>
          <w:rStyle w:val="42"/>
        </w:rPr>
        <w:t>第三十五条</w:t>
      </w:r>
      <w:r>
        <w:rPr>
          <w:rFonts w:cstheme="minorBidi"/>
          <w:smallCaps w:val="0"/>
          <w:sz w:val="21"/>
          <w:szCs w:val="22"/>
        </w:rPr>
        <w:tab/>
      </w:r>
      <w:r>
        <w:rPr>
          <w:rStyle w:val="42"/>
        </w:rPr>
        <w:t>风貌控制与引导</w:t>
      </w:r>
      <w:r>
        <w:tab/>
      </w:r>
      <w:r>
        <w:fldChar w:fldCharType="begin"/>
      </w:r>
      <w:r>
        <w:instrText xml:space="preserve"> PAGEREF _Toc3889216 \h </w:instrText>
      </w:r>
      <w:r>
        <w:fldChar w:fldCharType="separate"/>
      </w:r>
      <w:r>
        <w:t>18</w:t>
      </w:r>
      <w:r>
        <w:fldChar w:fldCharType="end"/>
      </w:r>
      <w:r>
        <w:fldChar w:fldCharType="end"/>
      </w:r>
    </w:p>
    <w:p>
      <w:pPr>
        <w:pStyle w:val="32"/>
        <w:rPr>
          <w:rFonts w:cstheme="minorBidi"/>
          <w:smallCaps w:val="0"/>
          <w:sz w:val="21"/>
          <w:szCs w:val="22"/>
        </w:rPr>
      </w:pPr>
      <w:r>
        <w:fldChar w:fldCharType="begin"/>
      </w:r>
      <w:r>
        <w:instrText xml:space="preserve"> HYPERLINK \l "_Toc3889217" </w:instrText>
      </w:r>
      <w:r>
        <w:fldChar w:fldCharType="separate"/>
      </w:r>
      <w:r>
        <w:rPr>
          <w:rStyle w:val="42"/>
        </w:rPr>
        <w:t>第三十六条</w:t>
      </w:r>
      <w:r>
        <w:rPr>
          <w:rFonts w:cstheme="minorBidi"/>
          <w:smallCaps w:val="0"/>
          <w:sz w:val="21"/>
          <w:szCs w:val="22"/>
        </w:rPr>
        <w:tab/>
      </w:r>
      <w:r>
        <w:rPr>
          <w:rStyle w:val="42"/>
        </w:rPr>
        <w:t>功能定位与用地调整建议</w:t>
      </w:r>
      <w:r>
        <w:tab/>
      </w:r>
      <w:r>
        <w:fldChar w:fldCharType="begin"/>
      </w:r>
      <w:r>
        <w:instrText xml:space="preserve"> PAGEREF _Toc3889217 \h </w:instrText>
      </w:r>
      <w:r>
        <w:fldChar w:fldCharType="separate"/>
      </w:r>
      <w:r>
        <w:t>18</w:t>
      </w:r>
      <w:r>
        <w:fldChar w:fldCharType="end"/>
      </w:r>
      <w:r>
        <w:fldChar w:fldCharType="end"/>
      </w:r>
    </w:p>
    <w:p>
      <w:pPr>
        <w:pStyle w:val="32"/>
        <w:rPr>
          <w:rFonts w:cstheme="minorBidi"/>
          <w:smallCaps w:val="0"/>
          <w:sz w:val="21"/>
          <w:szCs w:val="22"/>
        </w:rPr>
      </w:pPr>
      <w:r>
        <w:fldChar w:fldCharType="begin"/>
      </w:r>
      <w:r>
        <w:instrText xml:space="preserve"> HYPERLINK \l "_Toc3889218" </w:instrText>
      </w:r>
      <w:r>
        <w:fldChar w:fldCharType="separate"/>
      </w:r>
      <w:r>
        <w:rPr>
          <w:rStyle w:val="42"/>
        </w:rPr>
        <w:t>第三十七条</w:t>
      </w:r>
      <w:r>
        <w:rPr>
          <w:rFonts w:cstheme="minorBidi"/>
          <w:smallCaps w:val="0"/>
          <w:sz w:val="21"/>
          <w:szCs w:val="22"/>
        </w:rPr>
        <w:tab/>
      </w:r>
      <w:r>
        <w:rPr>
          <w:rStyle w:val="42"/>
        </w:rPr>
        <w:t>人口容量与社区规划调整建议</w:t>
      </w:r>
      <w:r>
        <w:tab/>
      </w:r>
      <w:r>
        <w:fldChar w:fldCharType="begin"/>
      </w:r>
      <w:r>
        <w:instrText xml:space="preserve"> PAGEREF _Toc3889218 \h </w:instrText>
      </w:r>
      <w:r>
        <w:fldChar w:fldCharType="separate"/>
      </w:r>
      <w:r>
        <w:t>18</w:t>
      </w:r>
      <w:r>
        <w:fldChar w:fldCharType="end"/>
      </w:r>
      <w:r>
        <w:fldChar w:fldCharType="end"/>
      </w:r>
    </w:p>
    <w:p>
      <w:pPr>
        <w:pStyle w:val="32"/>
        <w:rPr>
          <w:rFonts w:cstheme="minorBidi"/>
          <w:smallCaps w:val="0"/>
          <w:sz w:val="21"/>
          <w:szCs w:val="22"/>
        </w:rPr>
      </w:pPr>
      <w:r>
        <w:fldChar w:fldCharType="begin"/>
      </w:r>
      <w:r>
        <w:instrText xml:space="preserve"> HYPERLINK \l "_Toc3889219" </w:instrText>
      </w:r>
      <w:r>
        <w:fldChar w:fldCharType="separate"/>
      </w:r>
      <w:r>
        <w:rPr>
          <w:rStyle w:val="42"/>
        </w:rPr>
        <w:t>第三十八条</w:t>
      </w:r>
      <w:r>
        <w:rPr>
          <w:rFonts w:cstheme="minorBidi"/>
          <w:smallCaps w:val="0"/>
          <w:sz w:val="21"/>
          <w:szCs w:val="22"/>
        </w:rPr>
        <w:tab/>
      </w:r>
      <w:r>
        <w:rPr>
          <w:rStyle w:val="42"/>
        </w:rPr>
        <w:t>道路及市政基础设施整治</w:t>
      </w:r>
      <w:r>
        <w:tab/>
      </w:r>
      <w:r>
        <w:fldChar w:fldCharType="begin"/>
      </w:r>
      <w:r>
        <w:instrText xml:space="preserve"> PAGEREF _Toc3889219 \h </w:instrText>
      </w:r>
      <w:r>
        <w:fldChar w:fldCharType="separate"/>
      </w:r>
      <w:r>
        <w:t>18</w:t>
      </w:r>
      <w:r>
        <w:fldChar w:fldCharType="end"/>
      </w:r>
      <w:r>
        <w:fldChar w:fldCharType="end"/>
      </w:r>
    </w:p>
    <w:p>
      <w:pPr>
        <w:pStyle w:val="27"/>
        <w:rPr>
          <w:rFonts w:cstheme="minorBidi"/>
          <w:b w:val="0"/>
          <w:bCs w:val="0"/>
          <w:caps w:val="0"/>
          <w:sz w:val="21"/>
          <w:szCs w:val="22"/>
        </w:rPr>
      </w:pPr>
      <w:r>
        <w:fldChar w:fldCharType="begin"/>
      </w:r>
      <w:r>
        <w:instrText xml:space="preserve"> HYPERLINK \l "_Toc3889220" </w:instrText>
      </w:r>
      <w:r>
        <w:fldChar w:fldCharType="separate"/>
      </w:r>
      <w:r>
        <w:rPr>
          <w:rStyle w:val="42"/>
        </w:rPr>
        <w:t>第七章</w:t>
      </w:r>
      <w:r>
        <w:rPr>
          <w:rFonts w:cstheme="minorBidi"/>
          <w:b w:val="0"/>
          <w:bCs w:val="0"/>
          <w:caps w:val="0"/>
          <w:sz w:val="21"/>
          <w:szCs w:val="22"/>
        </w:rPr>
        <w:tab/>
      </w:r>
      <w:r>
        <w:rPr>
          <w:rStyle w:val="42"/>
        </w:rPr>
        <w:t>历史文化街区保护</w:t>
      </w:r>
      <w:r>
        <w:tab/>
      </w:r>
      <w:r>
        <w:fldChar w:fldCharType="begin"/>
      </w:r>
      <w:r>
        <w:instrText xml:space="preserve"> PAGEREF _Toc3889220 \h </w:instrText>
      </w:r>
      <w:r>
        <w:fldChar w:fldCharType="separate"/>
      </w:r>
      <w:r>
        <w:t>19</w:t>
      </w:r>
      <w:r>
        <w:fldChar w:fldCharType="end"/>
      </w:r>
      <w:r>
        <w:fldChar w:fldCharType="end"/>
      </w:r>
    </w:p>
    <w:p>
      <w:pPr>
        <w:pStyle w:val="32"/>
        <w:rPr>
          <w:rFonts w:cstheme="minorBidi"/>
          <w:smallCaps w:val="0"/>
          <w:sz w:val="21"/>
          <w:szCs w:val="22"/>
        </w:rPr>
      </w:pPr>
      <w:r>
        <w:fldChar w:fldCharType="begin"/>
      </w:r>
      <w:r>
        <w:instrText xml:space="preserve"> HYPERLINK \l "_Toc3889221" </w:instrText>
      </w:r>
      <w:r>
        <w:fldChar w:fldCharType="separate"/>
      </w:r>
      <w:r>
        <w:rPr>
          <w:rStyle w:val="42"/>
        </w:rPr>
        <w:t>第三十九条</w:t>
      </w:r>
      <w:r>
        <w:rPr>
          <w:rFonts w:cstheme="minorBidi"/>
          <w:smallCaps w:val="0"/>
          <w:sz w:val="21"/>
          <w:szCs w:val="22"/>
        </w:rPr>
        <w:tab/>
      </w:r>
      <w:r>
        <w:rPr>
          <w:rStyle w:val="42"/>
        </w:rPr>
        <w:t>历史文化街区划定</w:t>
      </w:r>
      <w:r>
        <w:tab/>
      </w:r>
      <w:r>
        <w:fldChar w:fldCharType="begin"/>
      </w:r>
      <w:r>
        <w:instrText xml:space="preserve"> PAGEREF _Toc3889221 \h </w:instrText>
      </w:r>
      <w:r>
        <w:fldChar w:fldCharType="separate"/>
      </w:r>
      <w:r>
        <w:t>19</w:t>
      </w:r>
      <w:r>
        <w:fldChar w:fldCharType="end"/>
      </w:r>
      <w:r>
        <w:fldChar w:fldCharType="end"/>
      </w:r>
    </w:p>
    <w:p>
      <w:pPr>
        <w:pStyle w:val="32"/>
        <w:rPr>
          <w:rFonts w:cstheme="minorBidi"/>
          <w:smallCaps w:val="0"/>
          <w:sz w:val="21"/>
          <w:szCs w:val="22"/>
        </w:rPr>
      </w:pPr>
      <w:r>
        <w:fldChar w:fldCharType="begin"/>
      </w:r>
      <w:r>
        <w:instrText xml:space="preserve"> HYPERLINK \l "_Toc3889222" </w:instrText>
      </w:r>
      <w:r>
        <w:fldChar w:fldCharType="separate"/>
      </w:r>
      <w:r>
        <w:rPr>
          <w:rStyle w:val="42"/>
        </w:rPr>
        <w:t>第四十条</w:t>
      </w:r>
      <w:r>
        <w:rPr>
          <w:rFonts w:cstheme="minorBidi"/>
          <w:smallCaps w:val="0"/>
          <w:sz w:val="21"/>
          <w:szCs w:val="22"/>
        </w:rPr>
        <w:tab/>
      </w:r>
      <w:r>
        <w:rPr>
          <w:rStyle w:val="42"/>
        </w:rPr>
        <w:t>保护原则</w:t>
      </w:r>
      <w:r>
        <w:tab/>
      </w:r>
      <w:r>
        <w:fldChar w:fldCharType="begin"/>
      </w:r>
      <w:r>
        <w:instrText xml:space="preserve"> PAGEREF _Toc3889222 \h </w:instrText>
      </w:r>
      <w:r>
        <w:fldChar w:fldCharType="separate"/>
      </w:r>
      <w:r>
        <w:t>19</w:t>
      </w:r>
      <w:r>
        <w:fldChar w:fldCharType="end"/>
      </w:r>
      <w:r>
        <w:fldChar w:fldCharType="end"/>
      </w:r>
    </w:p>
    <w:p>
      <w:pPr>
        <w:pStyle w:val="32"/>
        <w:rPr>
          <w:rFonts w:cstheme="minorBidi"/>
          <w:smallCaps w:val="0"/>
          <w:sz w:val="21"/>
          <w:szCs w:val="22"/>
        </w:rPr>
      </w:pPr>
      <w:r>
        <w:fldChar w:fldCharType="begin"/>
      </w:r>
      <w:r>
        <w:instrText xml:space="preserve"> HYPERLINK \l "_Toc3889223" </w:instrText>
      </w:r>
      <w:r>
        <w:fldChar w:fldCharType="separate"/>
      </w:r>
      <w:r>
        <w:rPr>
          <w:rStyle w:val="42"/>
        </w:rPr>
        <w:t>第四十一条</w:t>
      </w:r>
      <w:r>
        <w:rPr>
          <w:rFonts w:cstheme="minorBidi"/>
          <w:smallCaps w:val="0"/>
          <w:sz w:val="21"/>
          <w:szCs w:val="22"/>
        </w:rPr>
        <w:tab/>
      </w:r>
      <w:r>
        <w:rPr>
          <w:rStyle w:val="42"/>
        </w:rPr>
        <w:t>保护内容及要求</w:t>
      </w:r>
      <w:r>
        <w:tab/>
      </w:r>
      <w:r>
        <w:fldChar w:fldCharType="begin"/>
      </w:r>
      <w:r>
        <w:instrText xml:space="preserve"> PAGEREF _Toc3889223 \h </w:instrText>
      </w:r>
      <w:r>
        <w:fldChar w:fldCharType="separate"/>
      </w:r>
      <w:r>
        <w:t>19</w:t>
      </w:r>
      <w:r>
        <w:fldChar w:fldCharType="end"/>
      </w:r>
      <w:r>
        <w:fldChar w:fldCharType="end"/>
      </w:r>
    </w:p>
    <w:p>
      <w:pPr>
        <w:pStyle w:val="32"/>
        <w:rPr>
          <w:rFonts w:cstheme="minorBidi"/>
          <w:smallCaps w:val="0"/>
          <w:sz w:val="21"/>
          <w:szCs w:val="22"/>
        </w:rPr>
      </w:pPr>
      <w:r>
        <w:fldChar w:fldCharType="begin"/>
      </w:r>
      <w:r>
        <w:instrText xml:space="preserve"> HYPERLINK \l "_Toc3889224" </w:instrText>
      </w:r>
      <w:r>
        <w:fldChar w:fldCharType="separate"/>
      </w:r>
      <w:r>
        <w:rPr>
          <w:rStyle w:val="42"/>
        </w:rPr>
        <w:t>第四十二条</w:t>
      </w:r>
      <w:r>
        <w:rPr>
          <w:rFonts w:cstheme="minorBidi"/>
          <w:smallCaps w:val="0"/>
          <w:sz w:val="21"/>
          <w:szCs w:val="22"/>
        </w:rPr>
        <w:tab/>
      </w:r>
      <w:r>
        <w:rPr>
          <w:rStyle w:val="42"/>
        </w:rPr>
        <w:t>核心保护范围划定依据及建设控制要求</w:t>
      </w:r>
      <w:r>
        <w:tab/>
      </w:r>
      <w:r>
        <w:fldChar w:fldCharType="begin"/>
      </w:r>
      <w:r>
        <w:instrText xml:space="preserve"> PAGEREF _Toc3889224 \h </w:instrText>
      </w:r>
      <w:r>
        <w:fldChar w:fldCharType="separate"/>
      </w:r>
      <w:r>
        <w:t>19</w:t>
      </w:r>
      <w:r>
        <w:fldChar w:fldCharType="end"/>
      </w:r>
      <w:r>
        <w:fldChar w:fldCharType="end"/>
      </w:r>
    </w:p>
    <w:p>
      <w:pPr>
        <w:pStyle w:val="32"/>
        <w:rPr>
          <w:rFonts w:cstheme="minorBidi"/>
          <w:smallCaps w:val="0"/>
          <w:sz w:val="21"/>
          <w:szCs w:val="22"/>
        </w:rPr>
      </w:pPr>
      <w:r>
        <w:fldChar w:fldCharType="begin"/>
      </w:r>
      <w:r>
        <w:instrText xml:space="preserve"> HYPERLINK \l "_Toc3889225" </w:instrText>
      </w:r>
      <w:r>
        <w:fldChar w:fldCharType="separate"/>
      </w:r>
      <w:r>
        <w:rPr>
          <w:rStyle w:val="42"/>
        </w:rPr>
        <w:t>第四十三条</w:t>
      </w:r>
      <w:r>
        <w:rPr>
          <w:rFonts w:cstheme="minorBidi"/>
          <w:smallCaps w:val="0"/>
          <w:sz w:val="21"/>
          <w:szCs w:val="22"/>
        </w:rPr>
        <w:tab/>
      </w:r>
      <w:r>
        <w:rPr>
          <w:rStyle w:val="42"/>
        </w:rPr>
        <w:t>建设控制地带划定依据及建设控制要求</w:t>
      </w:r>
      <w:r>
        <w:tab/>
      </w:r>
      <w:r>
        <w:fldChar w:fldCharType="begin"/>
      </w:r>
      <w:r>
        <w:instrText xml:space="preserve"> PAGEREF _Toc3889225 \h </w:instrText>
      </w:r>
      <w:r>
        <w:fldChar w:fldCharType="separate"/>
      </w:r>
      <w:r>
        <w:t>19</w:t>
      </w:r>
      <w:r>
        <w:fldChar w:fldCharType="end"/>
      </w:r>
      <w:r>
        <w:fldChar w:fldCharType="end"/>
      </w:r>
    </w:p>
    <w:p>
      <w:pPr>
        <w:pStyle w:val="32"/>
        <w:rPr>
          <w:rFonts w:cstheme="minorBidi"/>
          <w:smallCaps w:val="0"/>
          <w:sz w:val="21"/>
          <w:szCs w:val="22"/>
        </w:rPr>
      </w:pPr>
      <w:r>
        <w:fldChar w:fldCharType="begin"/>
      </w:r>
      <w:r>
        <w:instrText xml:space="preserve"> HYPERLINK \l "_Toc3889226" </w:instrText>
      </w:r>
      <w:r>
        <w:fldChar w:fldCharType="separate"/>
      </w:r>
      <w:r>
        <w:rPr>
          <w:rStyle w:val="42"/>
        </w:rPr>
        <w:t>第四十四条</w:t>
      </w:r>
      <w:r>
        <w:rPr>
          <w:rFonts w:cstheme="minorBidi"/>
          <w:smallCaps w:val="0"/>
          <w:sz w:val="21"/>
          <w:szCs w:val="22"/>
        </w:rPr>
        <w:tab/>
      </w:r>
      <w:r>
        <w:rPr>
          <w:rStyle w:val="42"/>
        </w:rPr>
        <w:t>建（构）筑物的保护</w:t>
      </w:r>
      <w:r>
        <w:tab/>
      </w:r>
      <w:r>
        <w:fldChar w:fldCharType="begin"/>
      </w:r>
      <w:r>
        <w:instrText xml:space="preserve"> PAGEREF _Toc3889226 \h </w:instrText>
      </w:r>
      <w:r>
        <w:fldChar w:fldCharType="separate"/>
      </w:r>
      <w:r>
        <w:t>20</w:t>
      </w:r>
      <w:r>
        <w:fldChar w:fldCharType="end"/>
      </w:r>
      <w:r>
        <w:fldChar w:fldCharType="end"/>
      </w:r>
    </w:p>
    <w:p>
      <w:pPr>
        <w:pStyle w:val="32"/>
        <w:rPr>
          <w:rFonts w:cstheme="minorBidi"/>
          <w:smallCaps w:val="0"/>
          <w:sz w:val="21"/>
          <w:szCs w:val="22"/>
        </w:rPr>
      </w:pPr>
      <w:r>
        <w:fldChar w:fldCharType="begin"/>
      </w:r>
      <w:r>
        <w:instrText xml:space="preserve"> HYPERLINK \l "_Toc3889227" </w:instrText>
      </w:r>
      <w:r>
        <w:fldChar w:fldCharType="separate"/>
      </w:r>
      <w:r>
        <w:rPr>
          <w:rStyle w:val="42"/>
        </w:rPr>
        <w:t>第四十五条</w:t>
      </w:r>
      <w:r>
        <w:rPr>
          <w:rFonts w:cstheme="minorBidi"/>
          <w:smallCaps w:val="0"/>
          <w:sz w:val="21"/>
          <w:szCs w:val="22"/>
        </w:rPr>
        <w:tab/>
      </w:r>
      <w:r>
        <w:rPr>
          <w:rStyle w:val="42"/>
        </w:rPr>
        <w:t>高度控制及风貌控制</w:t>
      </w:r>
      <w:r>
        <w:tab/>
      </w:r>
      <w:r>
        <w:fldChar w:fldCharType="begin"/>
      </w:r>
      <w:r>
        <w:instrText xml:space="preserve"> PAGEREF _Toc3889227 \h </w:instrText>
      </w:r>
      <w:r>
        <w:fldChar w:fldCharType="separate"/>
      </w:r>
      <w:r>
        <w:t>20</w:t>
      </w:r>
      <w:r>
        <w:fldChar w:fldCharType="end"/>
      </w:r>
      <w:r>
        <w:fldChar w:fldCharType="end"/>
      </w:r>
    </w:p>
    <w:p>
      <w:pPr>
        <w:pStyle w:val="32"/>
        <w:rPr>
          <w:rFonts w:cstheme="minorBidi"/>
          <w:smallCaps w:val="0"/>
          <w:sz w:val="21"/>
          <w:szCs w:val="22"/>
        </w:rPr>
      </w:pPr>
      <w:r>
        <w:fldChar w:fldCharType="begin"/>
      </w:r>
      <w:r>
        <w:instrText xml:space="preserve"> HYPERLINK \l "_Toc3889228" </w:instrText>
      </w:r>
      <w:r>
        <w:fldChar w:fldCharType="separate"/>
      </w:r>
      <w:r>
        <w:rPr>
          <w:rStyle w:val="42"/>
        </w:rPr>
        <w:t>第四十六条</w:t>
      </w:r>
      <w:r>
        <w:rPr>
          <w:rFonts w:cstheme="minorBidi"/>
          <w:smallCaps w:val="0"/>
          <w:sz w:val="21"/>
          <w:szCs w:val="22"/>
        </w:rPr>
        <w:tab/>
      </w:r>
      <w:r>
        <w:rPr>
          <w:rStyle w:val="42"/>
        </w:rPr>
        <w:t>市级历史文化街区——水磨乡场镇</w:t>
      </w:r>
      <w:r>
        <w:tab/>
      </w:r>
      <w:r>
        <w:fldChar w:fldCharType="begin"/>
      </w:r>
      <w:r>
        <w:instrText xml:space="preserve"> PAGEREF _Toc3889228 \h </w:instrText>
      </w:r>
      <w:r>
        <w:fldChar w:fldCharType="separate"/>
      </w:r>
      <w:r>
        <w:t>20</w:t>
      </w:r>
      <w:r>
        <w:fldChar w:fldCharType="end"/>
      </w:r>
      <w:r>
        <w:fldChar w:fldCharType="end"/>
      </w:r>
    </w:p>
    <w:p>
      <w:pPr>
        <w:pStyle w:val="32"/>
        <w:rPr>
          <w:rFonts w:cstheme="minorBidi"/>
          <w:smallCaps w:val="0"/>
          <w:sz w:val="21"/>
          <w:szCs w:val="22"/>
        </w:rPr>
      </w:pPr>
      <w:r>
        <w:fldChar w:fldCharType="begin"/>
      </w:r>
      <w:r>
        <w:instrText xml:space="preserve"> HYPERLINK \l "_Toc3889229" </w:instrText>
      </w:r>
      <w:r>
        <w:fldChar w:fldCharType="separate"/>
      </w:r>
      <w:r>
        <w:rPr>
          <w:rStyle w:val="42"/>
        </w:rPr>
        <w:t>第四十七条</w:t>
      </w:r>
      <w:r>
        <w:rPr>
          <w:rFonts w:cstheme="minorBidi"/>
          <w:smallCaps w:val="0"/>
          <w:sz w:val="21"/>
          <w:szCs w:val="22"/>
        </w:rPr>
        <w:tab/>
      </w:r>
      <w:r>
        <w:rPr>
          <w:rStyle w:val="42"/>
        </w:rPr>
        <w:t>文昌街及龙潭街历史文化街区</w:t>
      </w:r>
      <w:r>
        <w:tab/>
      </w:r>
      <w:r>
        <w:fldChar w:fldCharType="begin"/>
      </w:r>
      <w:r>
        <w:instrText xml:space="preserve"> PAGEREF _Toc3889229 \h </w:instrText>
      </w:r>
      <w:r>
        <w:fldChar w:fldCharType="separate"/>
      </w:r>
      <w:r>
        <w:t>21</w:t>
      </w:r>
      <w:r>
        <w:fldChar w:fldCharType="end"/>
      </w:r>
      <w:r>
        <w:fldChar w:fldCharType="end"/>
      </w:r>
    </w:p>
    <w:p>
      <w:pPr>
        <w:pStyle w:val="32"/>
        <w:rPr>
          <w:rFonts w:cstheme="minorBidi"/>
          <w:smallCaps w:val="0"/>
          <w:sz w:val="21"/>
          <w:szCs w:val="22"/>
        </w:rPr>
      </w:pPr>
      <w:r>
        <w:fldChar w:fldCharType="begin"/>
      </w:r>
      <w:r>
        <w:instrText xml:space="preserve"> HYPERLINK \l "_Toc3889230" </w:instrText>
      </w:r>
      <w:r>
        <w:fldChar w:fldCharType="separate"/>
      </w:r>
      <w:r>
        <w:rPr>
          <w:rStyle w:val="42"/>
        </w:rPr>
        <w:t>第四十八条</w:t>
      </w:r>
      <w:r>
        <w:rPr>
          <w:rFonts w:cstheme="minorBidi"/>
          <w:smallCaps w:val="0"/>
          <w:sz w:val="21"/>
          <w:szCs w:val="22"/>
        </w:rPr>
        <w:tab/>
      </w:r>
      <w:r>
        <w:rPr>
          <w:rStyle w:val="42"/>
        </w:rPr>
        <w:t>王庙街历史文化街区</w:t>
      </w:r>
      <w:r>
        <w:tab/>
      </w:r>
      <w:r>
        <w:fldChar w:fldCharType="begin"/>
      </w:r>
      <w:r>
        <w:instrText xml:space="preserve"> PAGEREF _Toc3889230 \h </w:instrText>
      </w:r>
      <w:r>
        <w:fldChar w:fldCharType="separate"/>
      </w:r>
      <w:r>
        <w:t>22</w:t>
      </w:r>
      <w:r>
        <w:fldChar w:fldCharType="end"/>
      </w:r>
      <w:r>
        <w:fldChar w:fldCharType="end"/>
      </w:r>
    </w:p>
    <w:p>
      <w:pPr>
        <w:pStyle w:val="32"/>
        <w:rPr>
          <w:rFonts w:cstheme="minorBidi"/>
          <w:smallCaps w:val="0"/>
          <w:sz w:val="21"/>
          <w:szCs w:val="22"/>
        </w:rPr>
      </w:pPr>
      <w:r>
        <w:fldChar w:fldCharType="begin"/>
      </w:r>
      <w:r>
        <w:instrText xml:space="preserve"> HYPERLINK \l "_Toc3889231" </w:instrText>
      </w:r>
      <w:r>
        <w:fldChar w:fldCharType="separate"/>
      </w:r>
      <w:r>
        <w:rPr>
          <w:rStyle w:val="42"/>
        </w:rPr>
        <w:t>第四十九条</w:t>
      </w:r>
      <w:r>
        <w:rPr>
          <w:rFonts w:cstheme="minorBidi"/>
          <w:smallCaps w:val="0"/>
          <w:sz w:val="21"/>
          <w:szCs w:val="22"/>
        </w:rPr>
        <w:tab/>
      </w:r>
      <w:r>
        <w:rPr>
          <w:rStyle w:val="42"/>
        </w:rPr>
        <w:t>建议申报和补充名单</w:t>
      </w:r>
      <w:r>
        <w:tab/>
      </w:r>
      <w:r>
        <w:fldChar w:fldCharType="begin"/>
      </w:r>
      <w:r>
        <w:instrText xml:space="preserve"> PAGEREF _Toc3889231 \h </w:instrText>
      </w:r>
      <w:r>
        <w:fldChar w:fldCharType="separate"/>
      </w:r>
      <w:r>
        <w:t>23</w:t>
      </w:r>
      <w:r>
        <w:fldChar w:fldCharType="end"/>
      </w:r>
      <w:r>
        <w:fldChar w:fldCharType="end"/>
      </w:r>
    </w:p>
    <w:p>
      <w:pPr>
        <w:pStyle w:val="27"/>
        <w:rPr>
          <w:rFonts w:cstheme="minorBidi"/>
          <w:b w:val="0"/>
          <w:bCs w:val="0"/>
          <w:caps w:val="0"/>
          <w:sz w:val="21"/>
          <w:szCs w:val="22"/>
        </w:rPr>
      </w:pPr>
      <w:r>
        <w:fldChar w:fldCharType="begin"/>
      </w:r>
      <w:r>
        <w:instrText xml:space="preserve"> HYPERLINK \l "_Toc3889232" </w:instrText>
      </w:r>
      <w:r>
        <w:fldChar w:fldCharType="separate"/>
      </w:r>
      <w:r>
        <w:rPr>
          <w:rStyle w:val="42"/>
        </w:rPr>
        <w:t>第八章</w:t>
      </w:r>
      <w:r>
        <w:rPr>
          <w:rFonts w:cstheme="minorBidi"/>
          <w:b w:val="0"/>
          <w:bCs w:val="0"/>
          <w:caps w:val="0"/>
          <w:sz w:val="21"/>
          <w:szCs w:val="22"/>
        </w:rPr>
        <w:tab/>
      </w:r>
      <w:r>
        <w:rPr>
          <w:rStyle w:val="42"/>
        </w:rPr>
        <w:t>文物古迹的保护</w:t>
      </w:r>
      <w:r>
        <w:tab/>
      </w:r>
      <w:r>
        <w:fldChar w:fldCharType="begin"/>
      </w:r>
      <w:r>
        <w:instrText xml:space="preserve"> PAGEREF _Toc3889232 \h </w:instrText>
      </w:r>
      <w:r>
        <w:fldChar w:fldCharType="separate"/>
      </w:r>
      <w:r>
        <w:t>23</w:t>
      </w:r>
      <w:r>
        <w:fldChar w:fldCharType="end"/>
      </w:r>
      <w:r>
        <w:fldChar w:fldCharType="end"/>
      </w:r>
    </w:p>
    <w:p>
      <w:pPr>
        <w:pStyle w:val="32"/>
        <w:rPr>
          <w:rFonts w:cstheme="minorBidi"/>
          <w:smallCaps w:val="0"/>
          <w:sz w:val="21"/>
          <w:szCs w:val="22"/>
        </w:rPr>
      </w:pPr>
      <w:r>
        <w:fldChar w:fldCharType="begin"/>
      </w:r>
      <w:r>
        <w:instrText xml:space="preserve"> HYPERLINK \l "_Toc3889233" </w:instrText>
      </w:r>
      <w:r>
        <w:fldChar w:fldCharType="separate"/>
      </w:r>
      <w:r>
        <w:rPr>
          <w:rStyle w:val="42"/>
        </w:rPr>
        <w:t>第五十条</w:t>
      </w:r>
      <w:r>
        <w:rPr>
          <w:rFonts w:cstheme="minorBidi"/>
          <w:smallCaps w:val="0"/>
          <w:sz w:val="21"/>
          <w:szCs w:val="22"/>
        </w:rPr>
        <w:tab/>
      </w:r>
      <w:r>
        <w:rPr>
          <w:rStyle w:val="42"/>
        </w:rPr>
        <w:t>文物古迹保护原则</w:t>
      </w:r>
      <w:r>
        <w:tab/>
      </w:r>
      <w:r>
        <w:fldChar w:fldCharType="begin"/>
      </w:r>
      <w:r>
        <w:instrText xml:space="preserve"> PAGEREF _Toc3889233 \h </w:instrText>
      </w:r>
      <w:r>
        <w:fldChar w:fldCharType="separate"/>
      </w:r>
      <w:r>
        <w:t>23</w:t>
      </w:r>
      <w:r>
        <w:fldChar w:fldCharType="end"/>
      </w:r>
      <w:r>
        <w:fldChar w:fldCharType="end"/>
      </w:r>
    </w:p>
    <w:p>
      <w:pPr>
        <w:pStyle w:val="32"/>
        <w:rPr>
          <w:rFonts w:cstheme="minorBidi"/>
          <w:smallCaps w:val="0"/>
          <w:sz w:val="21"/>
          <w:szCs w:val="22"/>
        </w:rPr>
      </w:pPr>
      <w:r>
        <w:fldChar w:fldCharType="begin"/>
      </w:r>
      <w:r>
        <w:instrText xml:space="preserve"> HYPERLINK \l "_Toc3889234" </w:instrText>
      </w:r>
      <w:r>
        <w:fldChar w:fldCharType="separate"/>
      </w:r>
      <w:r>
        <w:rPr>
          <w:rStyle w:val="42"/>
        </w:rPr>
        <w:t>第五十一条</w:t>
      </w:r>
      <w:r>
        <w:rPr>
          <w:rFonts w:cstheme="minorBidi"/>
          <w:smallCaps w:val="0"/>
          <w:sz w:val="21"/>
          <w:szCs w:val="22"/>
        </w:rPr>
        <w:tab/>
      </w:r>
      <w:r>
        <w:rPr>
          <w:rStyle w:val="42"/>
        </w:rPr>
        <w:t>文物保护单位及尚未核定公布为文保单位的不可移动文物</w:t>
      </w:r>
      <w:r>
        <w:tab/>
      </w:r>
      <w:r>
        <w:fldChar w:fldCharType="begin"/>
      </w:r>
      <w:r>
        <w:instrText xml:space="preserve"> PAGEREF _Toc3889234 \h </w:instrText>
      </w:r>
      <w:r>
        <w:fldChar w:fldCharType="separate"/>
      </w:r>
      <w:r>
        <w:t>23</w:t>
      </w:r>
      <w:r>
        <w:fldChar w:fldCharType="end"/>
      </w:r>
      <w:r>
        <w:fldChar w:fldCharType="end"/>
      </w:r>
    </w:p>
    <w:p>
      <w:pPr>
        <w:pStyle w:val="32"/>
        <w:rPr>
          <w:rFonts w:cstheme="minorBidi"/>
          <w:smallCaps w:val="0"/>
          <w:sz w:val="21"/>
          <w:szCs w:val="22"/>
        </w:rPr>
      </w:pPr>
      <w:r>
        <w:fldChar w:fldCharType="begin"/>
      </w:r>
      <w:r>
        <w:instrText xml:space="preserve"> HYPERLINK \l "_Toc3889235" </w:instrText>
      </w:r>
      <w:r>
        <w:fldChar w:fldCharType="separate"/>
      </w:r>
      <w:r>
        <w:rPr>
          <w:rStyle w:val="42"/>
        </w:rPr>
        <w:t>第五十二条</w:t>
      </w:r>
      <w:r>
        <w:rPr>
          <w:rFonts w:cstheme="minorBidi"/>
          <w:smallCaps w:val="0"/>
          <w:sz w:val="21"/>
          <w:szCs w:val="22"/>
        </w:rPr>
        <w:tab/>
      </w:r>
      <w:r>
        <w:rPr>
          <w:rStyle w:val="42"/>
        </w:rPr>
        <w:t>历史建筑的保护</w:t>
      </w:r>
      <w:r>
        <w:tab/>
      </w:r>
      <w:r>
        <w:fldChar w:fldCharType="begin"/>
      </w:r>
      <w:r>
        <w:instrText xml:space="preserve"> PAGEREF _Toc3889235 \h </w:instrText>
      </w:r>
      <w:r>
        <w:fldChar w:fldCharType="separate"/>
      </w:r>
      <w:r>
        <w:t>24</w:t>
      </w:r>
      <w:r>
        <w:fldChar w:fldCharType="end"/>
      </w:r>
      <w:r>
        <w:fldChar w:fldCharType="end"/>
      </w:r>
    </w:p>
    <w:p>
      <w:pPr>
        <w:pStyle w:val="32"/>
        <w:rPr>
          <w:rFonts w:cstheme="minorBidi"/>
          <w:smallCaps w:val="0"/>
          <w:sz w:val="21"/>
          <w:szCs w:val="22"/>
        </w:rPr>
      </w:pPr>
      <w:r>
        <w:fldChar w:fldCharType="begin"/>
      </w:r>
      <w:r>
        <w:instrText xml:space="preserve"> HYPERLINK \l "_Toc3889236" </w:instrText>
      </w:r>
      <w:r>
        <w:fldChar w:fldCharType="separate"/>
      </w:r>
      <w:r>
        <w:rPr>
          <w:rStyle w:val="42"/>
        </w:rPr>
        <w:t>第五十三条</w:t>
      </w:r>
      <w:r>
        <w:rPr>
          <w:rFonts w:cstheme="minorBidi"/>
          <w:smallCaps w:val="0"/>
          <w:sz w:val="21"/>
          <w:szCs w:val="22"/>
        </w:rPr>
        <w:tab/>
      </w:r>
      <w:r>
        <w:rPr>
          <w:rStyle w:val="42"/>
        </w:rPr>
        <w:t>传统风貌建筑的保护</w:t>
      </w:r>
      <w:r>
        <w:tab/>
      </w:r>
      <w:r>
        <w:fldChar w:fldCharType="begin"/>
      </w:r>
      <w:r>
        <w:instrText xml:space="preserve"> PAGEREF _Toc3889236 \h </w:instrText>
      </w:r>
      <w:r>
        <w:fldChar w:fldCharType="separate"/>
      </w:r>
      <w:r>
        <w:t>25</w:t>
      </w:r>
      <w:r>
        <w:fldChar w:fldCharType="end"/>
      </w:r>
      <w:r>
        <w:fldChar w:fldCharType="end"/>
      </w:r>
    </w:p>
    <w:p>
      <w:pPr>
        <w:pStyle w:val="32"/>
        <w:rPr>
          <w:rFonts w:cstheme="minorBidi"/>
          <w:smallCaps w:val="0"/>
          <w:sz w:val="21"/>
          <w:szCs w:val="22"/>
        </w:rPr>
      </w:pPr>
      <w:r>
        <w:fldChar w:fldCharType="begin"/>
      </w:r>
      <w:r>
        <w:instrText xml:space="preserve"> HYPERLINK \l "_Toc3889237" </w:instrText>
      </w:r>
      <w:r>
        <w:fldChar w:fldCharType="separate"/>
      </w:r>
      <w:r>
        <w:rPr>
          <w:rStyle w:val="42"/>
        </w:rPr>
        <w:t>第五十四条</w:t>
      </w:r>
      <w:r>
        <w:rPr>
          <w:rFonts w:cstheme="minorBidi"/>
          <w:smallCaps w:val="0"/>
          <w:sz w:val="21"/>
          <w:szCs w:val="22"/>
        </w:rPr>
        <w:tab/>
      </w:r>
      <w:r>
        <w:rPr>
          <w:rStyle w:val="42"/>
        </w:rPr>
        <w:t>其他建筑的保护</w:t>
      </w:r>
      <w:r>
        <w:tab/>
      </w:r>
      <w:r>
        <w:fldChar w:fldCharType="begin"/>
      </w:r>
      <w:r>
        <w:instrText xml:space="preserve"> PAGEREF _Toc3889237 \h </w:instrText>
      </w:r>
      <w:r>
        <w:fldChar w:fldCharType="separate"/>
      </w:r>
      <w:r>
        <w:t>25</w:t>
      </w:r>
      <w:r>
        <w:fldChar w:fldCharType="end"/>
      </w:r>
      <w:r>
        <w:fldChar w:fldCharType="end"/>
      </w:r>
    </w:p>
    <w:p>
      <w:pPr>
        <w:pStyle w:val="32"/>
        <w:rPr>
          <w:rFonts w:cstheme="minorBidi"/>
          <w:smallCaps w:val="0"/>
          <w:sz w:val="21"/>
          <w:szCs w:val="22"/>
        </w:rPr>
      </w:pPr>
      <w:r>
        <w:fldChar w:fldCharType="begin"/>
      </w:r>
      <w:r>
        <w:instrText xml:space="preserve"> HYPERLINK \l "_Toc3889238" </w:instrText>
      </w:r>
      <w:r>
        <w:fldChar w:fldCharType="separate"/>
      </w:r>
      <w:r>
        <w:rPr>
          <w:rStyle w:val="42"/>
        </w:rPr>
        <w:t>第五十五条</w:t>
      </w:r>
      <w:r>
        <w:rPr>
          <w:rFonts w:cstheme="minorBidi"/>
          <w:smallCaps w:val="0"/>
          <w:sz w:val="21"/>
          <w:szCs w:val="22"/>
        </w:rPr>
        <w:tab/>
      </w:r>
      <w:r>
        <w:rPr>
          <w:rStyle w:val="42"/>
        </w:rPr>
        <w:t>古树名木保护</w:t>
      </w:r>
      <w:r>
        <w:tab/>
      </w:r>
      <w:r>
        <w:fldChar w:fldCharType="begin"/>
      </w:r>
      <w:r>
        <w:instrText xml:space="preserve"> PAGEREF _Toc3889238 \h </w:instrText>
      </w:r>
      <w:r>
        <w:fldChar w:fldCharType="separate"/>
      </w:r>
      <w:r>
        <w:t>25</w:t>
      </w:r>
      <w:r>
        <w:fldChar w:fldCharType="end"/>
      </w:r>
      <w:r>
        <w:fldChar w:fldCharType="end"/>
      </w:r>
    </w:p>
    <w:p>
      <w:pPr>
        <w:pStyle w:val="32"/>
        <w:rPr>
          <w:rFonts w:cstheme="minorBidi"/>
          <w:smallCaps w:val="0"/>
          <w:sz w:val="21"/>
          <w:szCs w:val="22"/>
        </w:rPr>
      </w:pPr>
      <w:r>
        <w:fldChar w:fldCharType="begin"/>
      </w:r>
      <w:r>
        <w:instrText xml:space="preserve"> HYPERLINK \l "_Toc3889239" </w:instrText>
      </w:r>
      <w:r>
        <w:fldChar w:fldCharType="separate"/>
      </w:r>
      <w:r>
        <w:rPr>
          <w:rStyle w:val="42"/>
        </w:rPr>
        <w:t>第五十六条</w:t>
      </w:r>
      <w:r>
        <w:rPr>
          <w:rFonts w:cstheme="minorBidi"/>
          <w:smallCaps w:val="0"/>
          <w:sz w:val="21"/>
          <w:szCs w:val="22"/>
        </w:rPr>
        <w:tab/>
      </w:r>
      <w:r>
        <w:rPr>
          <w:rStyle w:val="42"/>
        </w:rPr>
        <w:t>地下文物埋藏区保护</w:t>
      </w:r>
      <w:r>
        <w:tab/>
      </w:r>
      <w:r>
        <w:fldChar w:fldCharType="begin"/>
      </w:r>
      <w:r>
        <w:instrText xml:space="preserve"> PAGEREF _Toc3889239 \h </w:instrText>
      </w:r>
      <w:r>
        <w:fldChar w:fldCharType="separate"/>
      </w:r>
      <w:r>
        <w:t>25</w:t>
      </w:r>
      <w:r>
        <w:fldChar w:fldCharType="end"/>
      </w:r>
      <w:r>
        <w:fldChar w:fldCharType="end"/>
      </w:r>
    </w:p>
    <w:p>
      <w:pPr>
        <w:pStyle w:val="27"/>
        <w:rPr>
          <w:rFonts w:cstheme="minorBidi"/>
          <w:b w:val="0"/>
          <w:bCs w:val="0"/>
          <w:caps w:val="0"/>
          <w:sz w:val="21"/>
          <w:szCs w:val="22"/>
        </w:rPr>
      </w:pPr>
      <w:r>
        <w:fldChar w:fldCharType="begin"/>
      </w:r>
      <w:r>
        <w:instrText xml:space="preserve"> HYPERLINK \l "_Toc3889240" </w:instrText>
      </w:r>
      <w:r>
        <w:fldChar w:fldCharType="separate"/>
      </w:r>
      <w:r>
        <w:rPr>
          <w:rStyle w:val="42"/>
        </w:rPr>
        <w:t>第九章</w:t>
      </w:r>
      <w:r>
        <w:rPr>
          <w:rFonts w:cstheme="minorBidi"/>
          <w:b w:val="0"/>
          <w:bCs w:val="0"/>
          <w:caps w:val="0"/>
          <w:sz w:val="21"/>
          <w:szCs w:val="22"/>
        </w:rPr>
        <w:tab/>
      </w:r>
      <w:r>
        <w:rPr>
          <w:rStyle w:val="42"/>
        </w:rPr>
        <w:t>非物质文化遗产以及优秀传统文化保护</w:t>
      </w:r>
      <w:r>
        <w:tab/>
      </w:r>
      <w:r>
        <w:fldChar w:fldCharType="begin"/>
      </w:r>
      <w:r>
        <w:instrText xml:space="preserve"> PAGEREF _Toc3889240 \h </w:instrText>
      </w:r>
      <w:r>
        <w:fldChar w:fldCharType="separate"/>
      </w:r>
      <w:r>
        <w:t>25</w:t>
      </w:r>
      <w:r>
        <w:fldChar w:fldCharType="end"/>
      </w:r>
      <w:r>
        <w:fldChar w:fldCharType="end"/>
      </w:r>
    </w:p>
    <w:p>
      <w:pPr>
        <w:pStyle w:val="32"/>
        <w:rPr>
          <w:rFonts w:cstheme="minorBidi"/>
          <w:smallCaps w:val="0"/>
          <w:sz w:val="21"/>
          <w:szCs w:val="22"/>
        </w:rPr>
      </w:pPr>
      <w:r>
        <w:fldChar w:fldCharType="begin"/>
      </w:r>
      <w:r>
        <w:instrText xml:space="preserve"> HYPERLINK \l "_Toc3889241" </w:instrText>
      </w:r>
      <w:r>
        <w:fldChar w:fldCharType="separate"/>
      </w:r>
      <w:r>
        <w:rPr>
          <w:rStyle w:val="42"/>
        </w:rPr>
        <w:t>第五十七条</w:t>
      </w:r>
      <w:r>
        <w:rPr>
          <w:rFonts w:cstheme="minorBidi"/>
          <w:smallCaps w:val="0"/>
          <w:sz w:val="21"/>
          <w:szCs w:val="22"/>
        </w:rPr>
        <w:tab/>
      </w:r>
      <w:r>
        <w:rPr>
          <w:rStyle w:val="42"/>
        </w:rPr>
        <w:t>保护原则及内容</w:t>
      </w:r>
      <w:r>
        <w:tab/>
      </w:r>
      <w:r>
        <w:fldChar w:fldCharType="begin"/>
      </w:r>
      <w:r>
        <w:instrText xml:space="preserve"> PAGEREF _Toc3889241 \h </w:instrText>
      </w:r>
      <w:r>
        <w:fldChar w:fldCharType="separate"/>
      </w:r>
      <w:r>
        <w:t>25</w:t>
      </w:r>
      <w:r>
        <w:fldChar w:fldCharType="end"/>
      </w:r>
      <w:r>
        <w:fldChar w:fldCharType="end"/>
      </w:r>
    </w:p>
    <w:p>
      <w:pPr>
        <w:pStyle w:val="32"/>
        <w:rPr>
          <w:rFonts w:cstheme="minorBidi"/>
          <w:smallCaps w:val="0"/>
          <w:sz w:val="21"/>
          <w:szCs w:val="22"/>
        </w:rPr>
      </w:pPr>
      <w:r>
        <w:fldChar w:fldCharType="begin"/>
      </w:r>
      <w:r>
        <w:instrText xml:space="preserve"> HYPERLINK \l "_Toc3889242" </w:instrText>
      </w:r>
      <w:r>
        <w:fldChar w:fldCharType="separate"/>
      </w:r>
      <w:r>
        <w:rPr>
          <w:rStyle w:val="42"/>
        </w:rPr>
        <w:t>第五十八条</w:t>
      </w:r>
      <w:r>
        <w:rPr>
          <w:rFonts w:cstheme="minorBidi"/>
          <w:smallCaps w:val="0"/>
          <w:sz w:val="21"/>
          <w:szCs w:val="22"/>
        </w:rPr>
        <w:tab/>
      </w:r>
      <w:r>
        <w:rPr>
          <w:rStyle w:val="42"/>
        </w:rPr>
        <w:t>非物质文化遗产及优秀传统文化保护</w:t>
      </w:r>
      <w:r>
        <w:tab/>
      </w:r>
      <w:r>
        <w:fldChar w:fldCharType="begin"/>
      </w:r>
      <w:r>
        <w:instrText xml:space="preserve"> PAGEREF _Toc3889242 \h </w:instrText>
      </w:r>
      <w:r>
        <w:fldChar w:fldCharType="separate"/>
      </w:r>
      <w:r>
        <w:t>26</w:t>
      </w:r>
      <w:r>
        <w:fldChar w:fldCharType="end"/>
      </w:r>
      <w:r>
        <w:fldChar w:fldCharType="end"/>
      </w:r>
    </w:p>
    <w:p>
      <w:pPr>
        <w:pStyle w:val="27"/>
        <w:rPr>
          <w:rFonts w:cstheme="minorBidi"/>
          <w:b w:val="0"/>
          <w:bCs w:val="0"/>
          <w:caps w:val="0"/>
          <w:sz w:val="21"/>
          <w:szCs w:val="22"/>
        </w:rPr>
      </w:pPr>
      <w:r>
        <w:fldChar w:fldCharType="begin"/>
      </w:r>
      <w:r>
        <w:instrText xml:space="preserve"> HYPERLINK \l "_Toc3889243" </w:instrText>
      </w:r>
      <w:r>
        <w:fldChar w:fldCharType="separate"/>
      </w:r>
      <w:r>
        <w:rPr>
          <w:rStyle w:val="42"/>
        </w:rPr>
        <w:t>第十章</w:t>
      </w:r>
      <w:r>
        <w:rPr>
          <w:rFonts w:cstheme="minorBidi"/>
          <w:b w:val="0"/>
          <w:bCs w:val="0"/>
          <w:caps w:val="0"/>
          <w:sz w:val="21"/>
          <w:szCs w:val="22"/>
        </w:rPr>
        <w:tab/>
      </w:r>
      <w:r>
        <w:rPr>
          <w:rStyle w:val="42"/>
        </w:rPr>
        <w:t>历史文化遗产的展示与利用</w:t>
      </w:r>
      <w:r>
        <w:tab/>
      </w:r>
      <w:r>
        <w:fldChar w:fldCharType="begin"/>
      </w:r>
      <w:r>
        <w:instrText xml:space="preserve"> PAGEREF _Toc3889243 \h </w:instrText>
      </w:r>
      <w:r>
        <w:fldChar w:fldCharType="separate"/>
      </w:r>
      <w:r>
        <w:t>26</w:t>
      </w:r>
      <w:r>
        <w:fldChar w:fldCharType="end"/>
      </w:r>
      <w:r>
        <w:fldChar w:fldCharType="end"/>
      </w:r>
    </w:p>
    <w:p>
      <w:pPr>
        <w:pStyle w:val="32"/>
        <w:rPr>
          <w:rFonts w:cstheme="minorBidi"/>
          <w:smallCaps w:val="0"/>
          <w:sz w:val="21"/>
          <w:szCs w:val="22"/>
        </w:rPr>
      </w:pPr>
      <w:r>
        <w:fldChar w:fldCharType="begin"/>
      </w:r>
      <w:r>
        <w:instrText xml:space="preserve"> HYPERLINK \l "_Toc3889244" </w:instrText>
      </w:r>
      <w:r>
        <w:fldChar w:fldCharType="separate"/>
      </w:r>
      <w:r>
        <w:rPr>
          <w:rStyle w:val="42"/>
        </w:rPr>
        <w:t>第五十九条</w:t>
      </w:r>
      <w:r>
        <w:rPr>
          <w:rFonts w:cstheme="minorBidi"/>
          <w:smallCaps w:val="0"/>
          <w:sz w:val="21"/>
          <w:szCs w:val="22"/>
        </w:rPr>
        <w:tab/>
      </w:r>
      <w:r>
        <w:rPr>
          <w:rStyle w:val="42"/>
        </w:rPr>
        <w:t>展示层次</w:t>
      </w:r>
      <w:r>
        <w:tab/>
      </w:r>
      <w:r>
        <w:fldChar w:fldCharType="begin"/>
      </w:r>
      <w:r>
        <w:instrText xml:space="preserve"> PAGEREF _Toc3889244 \h </w:instrText>
      </w:r>
      <w:r>
        <w:fldChar w:fldCharType="separate"/>
      </w:r>
      <w:r>
        <w:t>26</w:t>
      </w:r>
      <w:r>
        <w:fldChar w:fldCharType="end"/>
      </w:r>
      <w:r>
        <w:fldChar w:fldCharType="end"/>
      </w:r>
    </w:p>
    <w:p>
      <w:pPr>
        <w:pStyle w:val="32"/>
        <w:rPr>
          <w:rFonts w:cstheme="minorBidi"/>
          <w:smallCaps w:val="0"/>
          <w:sz w:val="21"/>
          <w:szCs w:val="22"/>
        </w:rPr>
      </w:pPr>
      <w:r>
        <w:fldChar w:fldCharType="begin"/>
      </w:r>
      <w:r>
        <w:instrText xml:space="preserve"> HYPERLINK \l "_Toc3889245" </w:instrText>
      </w:r>
      <w:r>
        <w:fldChar w:fldCharType="separate"/>
      </w:r>
      <w:r>
        <w:rPr>
          <w:rStyle w:val="42"/>
        </w:rPr>
        <w:t>第六十条</w:t>
      </w:r>
      <w:r>
        <w:rPr>
          <w:rFonts w:cstheme="minorBidi"/>
          <w:smallCaps w:val="0"/>
          <w:sz w:val="21"/>
          <w:szCs w:val="22"/>
        </w:rPr>
        <w:tab/>
      </w:r>
      <w:r>
        <w:rPr>
          <w:rStyle w:val="42"/>
        </w:rPr>
        <w:t>展示原则</w:t>
      </w:r>
      <w:r>
        <w:tab/>
      </w:r>
      <w:r>
        <w:fldChar w:fldCharType="begin"/>
      </w:r>
      <w:r>
        <w:instrText xml:space="preserve"> PAGEREF _Toc3889245 \h </w:instrText>
      </w:r>
      <w:r>
        <w:fldChar w:fldCharType="separate"/>
      </w:r>
      <w:r>
        <w:t>26</w:t>
      </w:r>
      <w:r>
        <w:fldChar w:fldCharType="end"/>
      </w:r>
      <w:r>
        <w:fldChar w:fldCharType="end"/>
      </w:r>
    </w:p>
    <w:p>
      <w:pPr>
        <w:pStyle w:val="32"/>
        <w:rPr>
          <w:rFonts w:cstheme="minorBidi"/>
          <w:smallCaps w:val="0"/>
          <w:sz w:val="21"/>
          <w:szCs w:val="22"/>
        </w:rPr>
      </w:pPr>
      <w:r>
        <w:fldChar w:fldCharType="begin"/>
      </w:r>
      <w:r>
        <w:instrText xml:space="preserve"> HYPERLINK \l "_Toc3889246" </w:instrText>
      </w:r>
      <w:r>
        <w:fldChar w:fldCharType="separate"/>
      </w:r>
      <w:r>
        <w:rPr>
          <w:rStyle w:val="42"/>
        </w:rPr>
        <w:t>第六十一条</w:t>
      </w:r>
      <w:r>
        <w:rPr>
          <w:rFonts w:cstheme="minorBidi"/>
          <w:smallCaps w:val="0"/>
          <w:sz w:val="21"/>
          <w:szCs w:val="22"/>
        </w:rPr>
        <w:tab/>
      </w:r>
      <w:r>
        <w:rPr>
          <w:rStyle w:val="42"/>
        </w:rPr>
        <w:t>县域历史文化展示与利用</w:t>
      </w:r>
      <w:r>
        <w:tab/>
      </w:r>
      <w:r>
        <w:fldChar w:fldCharType="begin"/>
      </w:r>
      <w:r>
        <w:instrText xml:space="preserve"> PAGEREF _Toc3889246 \h </w:instrText>
      </w:r>
      <w:r>
        <w:fldChar w:fldCharType="separate"/>
      </w:r>
      <w:r>
        <w:t>26</w:t>
      </w:r>
      <w:r>
        <w:fldChar w:fldCharType="end"/>
      </w:r>
      <w:r>
        <w:fldChar w:fldCharType="end"/>
      </w:r>
    </w:p>
    <w:p>
      <w:pPr>
        <w:pStyle w:val="32"/>
        <w:rPr>
          <w:rFonts w:cstheme="minorBidi"/>
          <w:smallCaps w:val="0"/>
          <w:sz w:val="21"/>
          <w:szCs w:val="22"/>
        </w:rPr>
      </w:pPr>
      <w:r>
        <w:fldChar w:fldCharType="begin"/>
      </w:r>
      <w:r>
        <w:instrText xml:space="preserve"> HYPERLINK \l "_Toc3889247" </w:instrText>
      </w:r>
      <w:r>
        <w:fldChar w:fldCharType="separate"/>
      </w:r>
      <w:r>
        <w:rPr>
          <w:rStyle w:val="42"/>
        </w:rPr>
        <w:t>第六十二条</w:t>
      </w:r>
      <w:r>
        <w:rPr>
          <w:rFonts w:cstheme="minorBidi"/>
          <w:smallCaps w:val="0"/>
          <w:sz w:val="21"/>
          <w:szCs w:val="22"/>
        </w:rPr>
        <w:tab/>
      </w:r>
      <w:r>
        <w:rPr>
          <w:rStyle w:val="42"/>
        </w:rPr>
        <w:t>历史城区历史文化的展示利用</w:t>
      </w:r>
      <w:r>
        <w:tab/>
      </w:r>
      <w:r>
        <w:fldChar w:fldCharType="begin"/>
      </w:r>
      <w:r>
        <w:instrText xml:space="preserve"> PAGEREF _Toc3889247 \h </w:instrText>
      </w:r>
      <w:r>
        <w:fldChar w:fldCharType="separate"/>
      </w:r>
      <w:r>
        <w:t>26</w:t>
      </w:r>
      <w:r>
        <w:fldChar w:fldCharType="end"/>
      </w:r>
      <w:r>
        <w:fldChar w:fldCharType="end"/>
      </w:r>
    </w:p>
    <w:p>
      <w:pPr>
        <w:pStyle w:val="32"/>
        <w:rPr>
          <w:rFonts w:cstheme="minorBidi"/>
          <w:smallCaps w:val="0"/>
          <w:sz w:val="21"/>
          <w:szCs w:val="22"/>
        </w:rPr>
      </w:pPr>
      <w:r>
        <w:fldChar w:fldCharType="begin"/>
      </w:r>
      <w:r>
        <w:instrText xml:space="preserve"> HYPERLINK \l "_Toc3889248" </w:instrText>
      </w:r>
      <w:r>
        <w:fldChar w:fldCharType="separate"/>
      </w:r>
      <w:r>
        <w:rPr>
          <w:rStyle w:val="42"/>
        </w:rPr>
        <w:t>第六十三条</w:t>
      </w:r>
      <w:r>
        <w:rPr>
          <w:rFonts w:cstheme="minorBidi"/>
          <w:smallCaps w:val="0"/>
          <w:sz w:val="21"/>
          <w:szCs w:val="22"/>
        </w:rPr>
        <w:tab/>
      </w:r>
      <w:r>
        <w:rPr>
          <w:rStyle w:val="42"/>
        </w:rPr>
        <w:t>历史文化街区历史文化的展示</w:t>
      </w:r>
      <w:r>
        <w:tab/>
      </w:r>
      <w:r>
        <w:fldChar w:fldCharType="begin"/>
      </w:r>
      <w:r>
        <w:instrText xml:space="preserve"> PAGEREF _Toc3889248 \h </w:instrText>
      </w:r>
      <w:r>
        <w:fldChar w:fldCharType="separate"/>
      </w:r>
      <w:r>
        <w:t>26</w:t>
      </w:r>
      <w:r>
        <w:fldChar w:fldCharType="end"/>
      </w:r>
      <w:r>
        <w:fldChar w:fldCharType="end"/>
      </w:r>
    </w:p>
    <w:p>
      <w:pPr>
        <w:pStyle w:val="32"/>
        <w:rPr>
          <w:rFonts w:cstheme="minorBidi"/>
          <w:smallCaps w:val="0"/>
          <w:sz w:val="21"/>
          <w:szCs w:val="22"/>
        </w:rPr>
      </w:pPr>
      <w:r>
        <w:fldChar w:fldCharType="begin"/>
      </w:r>
      <w:r>
        <w:instrText xml:space="preserve"> HYPERLINK \l "_Toc3889249" </w:instrText>
      </w:r>
      <w:r>
        <w:fldChar w:fldCharType="separate"/>
      </w:r>
      <w:r>
        <w:rPr>
          <w:rStyle w:val="42"/>
        </w:rPr>
        <w:t>第六十四条</w:t>
      </w:r>
      <w:r>
        <w:rPr>
          <w:rFonts w:cstheme="minorBidi"/>
          <w:smallCaps w:val="0"/>
          <w:sz w:val="21"/>
          <w:szCs w:val="22"/>
        </w:rPr>
        <w:tab/>
      </w:r>
      <w:r>
        <w:rPr>
          <w:rStyle w:val="42"/>
        </w:rPr>
        <w:t>文物保护单位展示与利用</w:t>
      </w:r>
      <w:r>
        <w:tab/>
      </w:r>
      <w:r>
        <w:fldChar w:fldCharType="begin"/>
      </w:r>
      <w:r>
        <w:instrText xml:space="preserve"> PAGEREF _Toc3889249 \h </w:instrText>
      </w:r>
      <w:r>
        <w:fldChar w:fldCharType="separate"/>
      </w:r>
      <w:r>
        <w:t>27</w:t>
      </w:r>
      <w:r>
        <w:fldChar w:fldCharType="end"/>
      </w:r>
      <w:r>
        <w:fldChar w:fldCharType="end"/>
      </w:r>
    </w:p>
    <w:p>
      <w:pPr>
        <w:pStyle w:val="32"/>
        <w:rPr>
          <w:rFonts w:cstheme="minorBidi"/>
          <w:smallCaps w:val="0"/>
          <w:sz w:val="21"/>
          <w:szCs w:val="22"/>
        </w:rPr>
      </w:pPr>
      <w:r>
        <w:fldChar w:fldCharType="begin"/>
      </w:r>
      <w:r>
        <w:instrText xml:space="preserve"> HYPERLINK \l "_Toc3889250" </w:instrText>
      </w:r>
      <w:r>
        <w:fldChar w:fldCharType="separate"/>
      </w:r>
      <w:r>
        <w:rPr>
          <w:rStyle w:val="42"/>
        </w:rPr>
        <w:t>第六十五条</w:t>
      </w:r>
      <w:r>
        <w:rPr>
          <w:rFonts w:cstheme="minorBidi"/>
          <w:smallCaps w:val="0"/>
          <w:sz w:val="21"/>
          <w:szCs w:val="22"/>
        </w:rPr>
        <w:tab/>
      </w:r>
      <w:r>
        <w:rPr>
          <w:rStyle w:val="42"/>
        </w:rPr>
        <w:t>非物质文化遗产展示与利用</w:t>
      </w:r>
      <w:r>
        <w:tab/>
      </w:r>
      <w:r>
        <w:fldChar w:fldCharType="begin"/>
      </w:r>
      <w:r>
        <w:instrText xml:space="preserve"> PAGEREF _Toc3889250 \h </w:instrText>
      </w:r>
      <w:r>
        <w:fldChar w:fldCharType="separate"/>
      </w:r>
      <w:r>
        <w:t>27</w:t>
      </w:r>
      <w:r>
        <w:fldChar w:fldCharType="end"/>
      </w:r>
      <w:r>
        <w:fldChar w:fldCharType="end"/>
      </w:r>
    </w:p>
    <w:p>
      <w:pPr>
        <w:pStyle w:val="27"/>
        <w:rPr>
          <w:rFonts w:cstheme="minorBidi"/>
          <w:b w:val="0"/>
          <w:bCs w:val="0"/>
          <w:caps w:val="0"/>
          <w:sz w:val="21"/>
          <w:szCs w:val="22"/>
        </w:rPr>
      </w:pPr>
      <w:r>
        <w:fldChar w:fldCharType="begin"/>
      </w:r>
      <w:r>
        <w:instrText xml:space="preserve"> HYPERLINK \l "_Toc3889251" </w:instrText>
      </w:r>
      <w:r>
        <w:fldChar w:fldCharType="separate"/>
      </w:r>
      <w:r>
        <w:rPr>
          <w:rStyle w:val="42"/>
        </w:rPr>
        <w:t>第十一章</w:t>
      </w:r>
      <w:r>
        <w:rPr>
          <w:rFonts w:cstheme="minorBidi"/>
          <w:b w:val="0"/>
          <w:bCs w:val="0"/>
          <w:caps w:val="0"/>
          <w:sz w:val="21"/>
          <w:szCs w:val="22"/>
        </w:rPr>
        <w:tab/>
      </w:r>
      <w:r>
        <w:rPr>
          <w:rStyle w:val="42"/>
        </w:rPr>
        <w:t>近期保护规划</w:t>
      </w:r>
      <w:r>
        <w:tab/>
      </w:r>
      <w:r>
        <w:fldChar w:fldCharType="begin"/>
      </w:r>
      <w:r>
        <w:instrText xml:space="preserve"> PAGEREF _Toc3889251 \h </w:instrText>
      </w:r>
      <w:r>
        <w:fldChar w:fldCharType="separate"/>
      </w:r>
      <w:r>
        <w:t>27</w:t>
      </w:r>
      <w:r>
        <w:fldChar w:fldCharType="end"/>
      </w:r>
      <w:r>
        <w:fldChar w:fldCharType="end"/>
      </w:r>
    </w:p>
    <w:p>
      <w:pPr>
        <w:pStyle w:val="32"/>
        <w:rPr>
          <w:rFonts w:cstheme="minorBidi"/>
          <w:smallCaps w:val="0"/>
          <w:sz w:val="21"/>
          <w:szCs w:val="22"/>
        </w:rPr>
      </w:pPr>
      <w:r>
        <w:fldChar w:fldCharType="begin"/>
      </w:r>
      <w:r>
        <w:instrText xml:space="preserve"> HYPERLINK \l "_Toc3889252" </w:instrText>
      </w:r>
      <w:r>
        <w:fldChar w:fldCharType="separate"/>
      </w:r>
      <w:r>
        <w:rPr>
          <w:rStyle w:val="42"/>
        </w:rPr>
        <w:t>第六十六条</w:t>
      </w:r>
      <w:r>
        <w:rPr>
          <w:rFonts w:cstheme="minorBidi"/>
          <w:smallCaps w:val="0"/>
          <w:sz w:val="21"/>
          <w:szCs w:val="22"/>
        </w:rPr>
        <w:tab/>
      </w:r>
      <w:r>
        <w:rPr>
          <w:rStyle w:val="42"/>
        </w:rPr>
        <w:t>近期规划期限</w:t>
      </w:r>
      <w:r>
        <w:tab/>
      </w:r>
      <w:r>
        <w:fldChar w:fldCharType="begin"/>
      </w:r>
      <w:r>
        <w:instrText xml:space="preserve"> PAGEREF _Toc3889252 \h </w:instrText>
      </w:r>
      <w:r>
        <w:fldChar w:fldCharType="separate"/>
      </w:r>
      <w:r>
        <w:t>27</w:t>
      </w:r>
      <w:r>
        <w:fldChar w:fldCharType="end"/>
      </w:r>
      <w:r>
        <w:fldChar w:fldCharType="end"/>
      </w:r>
    </w:p>
    <w:p>
      <w:pPr>
        <w:pStyle w:val="32"/>
        <w:rPr>
          <w:rFonts w:cstheme="minorBidi"/>
          <w:smallCaps w:val="0"/>
          <w:sz w:val="21"/>
          <w:szCs w:val="22"/>
        </w:rPr>
      </w:pPr>
      <w:r>
        <w:fldChar w:fldCharType="begin"/>
      </w:r>
      <w:r>
        <w:instrText xml:space="preserve"> HYPERLINK \l "_Toc3889253" </w:instrText>
      </w:r>
      <w:r>
        <w:fldChar w:fldCharType="separate"/>
      </w:r>
      <w:r>
        <w:rPr>
          <w:rStyle w:val="42"/>
        </w:rPr>
        <w:t>第六十七条</w:t>
      </w:r>
      <w:r>
        <w:rPr>
          <w:rFonts w:cstheme="minorBidi"/>
          <w:smallCaps w:val="0"/>
          <w:sz w:val="21"/>
          <w:szCs w:val="22"/>
        </w:rPr>
        <w:tab/>
      </w:r>
      <w:r>
        <w:rPr>
          <w:rStyle w:val="42"/>
        </w:rPr>
        <w:t>近期实施项目</w:t>
      </w:r>
      <w:r>
        <w:tab/>
      </w:r>
      <w:r>
        <w:fldChar w:fldCharType="begin"/>
      </w:r>
      <w:r>
        <w:instrText xml:space="preserve"> PAGEREF _Toc3889253 \h </w:instrText>
      </w:r>
      <w:r>
        <w:fldChar w:fldCharType="separate"/>
      </w:r>
      <w:r>
        <w:t>27</w:t>
      </w:r>
      <w:r>
        <w:fldChar w:fldCharType="end"/>
      </w:r>
      <w:r>
        <w:fldChar w:fldCharType="end"/>
      </w:r>
    </w:p>
    <w:p>
      <w:pPr>
        <w:pStyle w:val="27"/>
        <w:rPr>
          <w:rFonts w:cstheme="minorBidi"/>
          <w:b w:val="0"/>
          <w:bCs w:val="0"/>
          <w:caps w:val="0"/>
          <w:sz w:val="21"/>
          <w:szCs w:val="22"/>
        </w:rPr>
      </w:pPr>
      <w:r>
        <w:fldChar w:fldCharType="begin"/>
      </w:r>
      <w:r>
        <w:instrText xml:space="preserve"> HYPERLINK \l "_Toc3889254" </w:instrText>
      </w:r>
      <w:r>
        <w:fldChar w:fldCharType="separate"/>
      </w:r>
      <w:r>
        <w:rPr>
          <w:rStyle w:val="42"/>
        </w:rPr>
        <w:t>第十二章</w:t>
      </w:r>
      <w:r>
        <w:rPr>
          <w:rFonts w:cstheme="minorBidi"/>
          <w:b w:val="0"/>
          <w:bCs w:val="0"/>
          <w:caps w:val="0"/>
          <w:sz w:val="21"/>
          <w:szCs w:val="22"/>
        </w:rPr>
        <w:tab/>
      </w:r>
      <w:r>
        <w:rPr>
          <w:rStyle w:val="42"/>
        </w:rPr>
        <w:t>实施建议</w:t>
      </w:r>
      <w:r>
        <w:tab/>
      </w:r>
      <w:r>
        <w:fldChar w:fldCharType="begin"/>
      </w:r>
      <w:r>
        <w:instrText xml:space="preserve"> PAGEREF _Toc3889254 \h </w:instrText>
      </w:r>
      <w:r>
        <w:fldChar w:fldCharType="separate"/>
      </w:r>
      <w:r>
        <w:t>27</w:t>
      </w:r>
      <w:r>
        <w:fldChar w:fldCharType="end"/>
      </w:r>
      <w:r>
        <w:fldChar w:fldCharType="end"/>
      </w:r>
    </w:p>
    <w:p>
      <w:pPr>
        <w:pStyle w:val="27"/>
        <w:rPr>
          <w:rFonts w:cstheme="minorBidi"/>
          <w:b w:val="0"/>
          <w:bCs w:val="0"/>
          <w:caps w:val="0"/>
          <w:sz w:val="21"/>
          <w:szCs w:val="22"/>
        </w:rPr>
      </w:pPr>
      <w:r>
        <w:fldChar w:fldCharType="begin"/>
      </w:r>
      <w:r>
        <w:instrText xml:space="preserve"> HYPERLINK \l "_Toc3889255" </w:instrText>
      </w:r>
      <w:r>
        <w:fldChar w:fldCharType="separate"/>
      </w:r>
      <w:r>
        <w:rPr>
          <w:rStyle w:val="42"/>
        </w:rPr>
        <w:t>第十三章</w:t>
      </w:r>
      <w:r>
        <w:rPr>
          <w:rFonts w:cstheme="minorBidi"/>
          <w:b w:val="0"/>
          <w:bCs w:val="0"/>
          <w:caps w:val="0"/>
          <w:sz w:val="21"/>
          <w:szCs w:val="22"/>
        </w:rPr>
        <w:tab/>
      </w:r>
      <w:r>
        <w:rPr>
          <w:rStyle w:val="42"/>
        </w:rPr>
        <w:t>附则</w:t>
      </w:r>
      <w:r>
        <w:tab/>
      </w:r>
      <w:r>
        <w:fldChar w:fldCharType="begin"/>
      </w:r>
      <w:r>
        <w:instrText xml:space="preserve"> PAGEREF _Toc3889255 \h </w:instrText>
      </w:r>
      <w:r>
        <w:fldChar w:fldCharType="separate"/>
      </w:r>
      <w:r>
        <w:t>28</w:t>
      </w:r>
      <w:r>
        <w:fldChar w:fldCharType="end"/>
      </w:r>
      <w:r>
        <w:fldChar w:fldCharType="end"/>
      </w:r>
    </w:p>
    <w:p>
      <w:pPr>
        <w:pStyle w:val="27"/>
        <w:rPr>
          <w:rFonts w:cstheme="minorBidi"/>
          <w:b w:val="0"/>
          <w:bCs w:val="0"/>
          <w:caps w:val="0"/>
          <w:sz w:val="21"/>
          <w:szCs w:val="22"/>
        </w:rPr>
      </w:pPr>
      <w:r>
        <w:fldChar w:fldCharType="begin"/>
      </w:r>
      <w:r>
        <w:instrText xml:space="preserve"> HYPERLINK \l "_Toc3889256" </w:instrText>
      </w:r>
      <w:r>
        <w:fldChar w:fldCharType="separate"/>
      </w:r>
      <w:r>
        <w:rPr>
          <w:rStyle w:val="42"/>
        </w:rPr>
        <w:t>附 表</w:t>
      </w:r>
      <w:r>
        <w:tab/>
      </w:r>
      <w:r>
        <w:fldChar w:fldCharType="begin"/>
      </w:r>
      <w:r>
        <w:instrText xml:space="preserve"> PAGEREF _Toc3889256 \h </w:instrText>
      </w:r>
      <w:r>
        <w:fldChar w:fldCharType="separate"/>
      </w:r>
      <w:r>
        <w:t>28</w:t>
      </w:r>
      <w:r>
        <w:fldChar w:fldCharType="end"/>
      </w:r>
      <w:r>
        <w:fldChar w:fldCharType="end"/>
      </w:r>
    </w:p>
    <w:p>
      <w:pPr>
        <w:pStyle w:val="32"/>
        <w:rPr>
          <w:rFonts w:cstheme="minorBidi"/>
          <w:smallCaps w:val="0"/>
          <w:sz w:val="21"/>
          <w:szCs w:val="22"/>
        </w:rPr>
      </w:pPr>
      <w:r>
        <w:fldChar w:fldCharType="begin"/>
      </w:r>
      <w:r>
        <w:instrText xml:space="preserve"> HYPERLINK \l "_Toc3889257" </w:instrText>
      </w:r>
      <w:r>
        <w:fldChar w:fldCharType="separate"/>
      </w:r>
      <w:r>
        <w:rPr>
          <w:rStyle w:val="42"/>
        </w:rPr>
        <w:t>县域部分</w:t>
      </w:r>
      <w:r>
        <w:tab/>
      </w:r>
      <w:r>
        <w:fldChar w:fldCharType="begin"/>
      </w:r>
      <w:r>
        <w:instrText xml:space="preserve"> PAGEREF _Toc3889257 \h </w:instrText>
      </w:r>
      <w:r>
        <w:fldChar w:fldCharType="separate"/>
      </w:r>
      <w:r>
        <w:t>28</w:t>
      </w:r>
      <w:r>
        <w:fldChar w:fldCharType="end"/>
      </w:r>
      <w:r>
        <w:fldChar w:fldCharType="end"/>
      </w:r>
    </w:p>
    <w:p>
      <w:pPr>
        <w:pStyle w:val="32"/>
        <w:rPr>
          <w:rFonts w:cstheme="minorBidi"/>
          <w:smallCaps w:val="0"/>
          <w:sz w:val="21"/>
          <w:szCs w:val="22"/>
        </w:rPr>
      </w:pPr>
      <w:r>
        <w:fldChar w:fldCharType="begin"/>
      </w:r>
      <w:r>
        <w:instrText xml:space="preserve"> HYPERLINK \l "_Toc3889258" </w:instrText>
      </w:r>
      <w:r>
        <w:fldChar w:fldCharType="separate"/>
      </w:r>
      <w:r>
        <w:rPr>
          <w:rStyle w:val="42"/>
        </w:rPr>
        <w:t>城区部分</w:t>
      </w:r>
      <w:r>
        <w:tab/>
      </w:r>
      <w:r>
        <w:fldChar w:fldCharType="begin"/>
      </w:r>
      <w:r>
        <w:instrText xml:space="preserve"> PAGEREF _Toc3889258 \h </w:instrText>
      </w:r>
      <w:r>
        <w:fldChar w:fldCharType="separate"/>
      </w:r>
      <w:r>
        <w:t>29</w:t>
      </w:r>
      <w:r>
        <w:fldChar w:fldCharType="end"/>
      </w:r>
      <w:r>
        <w:fldChar w:fldCharType="end"/>
      </w:r>
    </w:p>
    <w:p>
      <w:pPr>
        <w:pStyle w:val="32"/>
        <w:rPr>
          <w:rFonts w:cstheme="minorBidi"/>
          <w:smallCaps w:val="0"/>
          <w:sz w:val="21"/>
          <w:szCs w:val="22"/>
        </w:rPr>
      </w:pPr>
      <w:r>
        <w:fldChar w:fldCharType="begin"/>
      </w:r>
      <w:r>
        <w:instrText xml:space="preserve"> HYPERLINK \l "_Toc3889259" </w:instrText>
      </w:r>
      <w:r>
        <w:fldChar w:fldCharType="separate"/>
      </w:r>
      <w:r>
        <w:rPr>
          <w:rStyle w:val="42"/>
        </w:rPr>
        <w:t>拟申报名单</w:t>
      </w:r>
      <w:r>
        <w:tab/>
      </w:r>
      <w:r>
        <w:fldChar w:fldCharType="begin"/>
      </w:r>
      <w:r>
        <w:instrText xml:space="preserve"> PAGEREF _Toc3889259 \h </w:instrText>
      </w:r>
      <w:r>
        <w:fldChar w:fldCharType="separate"/>
      </w:r>
      <w:r>
        <w:t>30</w:t>
      </w:r>
      <w:r>
        <w:fldChar w:fldCharType="end"/>
      </w:r>
      <w:r>
        <w:fldChar w:fldCharType="end"/>
      </w:r>
    </w:p>
    <w:p>
      <w:pPr>
        <w:pStyle w:val="32"/>
        <w:rPr>
          <w:highlight w:val="yellow"/>
        </w:rPr>
      </w:pPr>
      <w:r>
        <w:rPr>
          <w:highlight w:val="yellow"/>
        </w:rPr>
        <w:fldChar w:fldCharType="end"/>
      </w:r>
    </w:p>
    <w:p>
      <w:pPr>
        <w:ind w:firstLine="480"/>
        <w:rPr>
          <w:highlight w:val="yellow"/>
        </w:rPr>
        <w:sectPr>
          <w:pgSz w:w="23814" w:h="16839"/>
          <w:pgMar w:top="1440" w:right="1800" w:bottom="1440" w:left="1800" w:header="851" w:footer="992" w:gutter="0"/>
          <w:cols w:space="425" w:num="2"/>
          <w:docGrid w:type="lines" w:linePitch="326" w:charSpace="0"/>
        </w:sectPr>
      </w:pPr>
    </w:p>
    <w:p>
      <w:pPr>
        <w:pStyle w:val="32"/>
      </w:pPr>
    </w:p>
    <w:p>
      <w:pPr>
        <w:pStyle w:val="78"/>
        <w:numPr>
          <w:ilvl w:val="0"/>
          <w:numId w:val="0"/>
        </w:numPr>
        <w:jc w:val="both"/>
      </w:pPr>
      <w:bookmarkStart w:id="5" w:name="_Toc3889170"/>
      <w:r>
        <w:rPr>
          <w:rFonts w:hint="eastAsia"/>
        </w:rPr>
        <w:t>四川省住房和城乡建设厅关于《旺苍县历史文化名城保护规划（2017-2035）技术审查会纪要</w:t>
      </w:r>
      <w:bookmarkEnd w:id="5"/>
    </w:p>
    <w:p>
      <w:pPr>
        <w:ind w:firstLine="480"/>
      </w:pPr>
      <w:r>
        <w:drawing>
          <wp:inline distT="0" distB="0" distL="0" distR="0">
            <wp:extent cx="5116195" cy="735584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116286" cy="7356294"/>
                    </a:xfrm>
                    <a:prstGeom prst="rect">
                      <a:avLst/>
                    </a:prstGeom>
                  </pic:spPr>
                </pic:pic>
              </a:graphicData>
            </a:graphic>
          </wp:inline>
        </w:drawing>
      </w:r>
    </w:p>
    <w:p>
      <w:pPr>
        <w:ind w:firstLine="480"/>
      </w:pPr>
    </w:p>
    <w:p>
      <w:pPr>
        <w:ind w:firstLine="480"/>
      </w:pPr>
    </w:p>
    <w:p>
      <w:pPr>
        <w:ind w:firstLine="480"/>
      </w:pPr>
    </w:p>
    <w:p>
      <w:pPr>
        <w:ind w:firstLine="480"/>
      </w:pPr>
    </w:p>
    <w:p>
      <w:pPr>
        <w:ind w:firstLine="480"/>
      </w:pPr>
    </w:p>
    <w:p>
      <w:pPr>
        <w:ind w:firstLine="480"/>
      </w:pPr>
      <w:r>
        <w:drawing>
          <wp:inline distT="0" distB="0" distL="0" distR="0">
            <wp:extent cx="4754880" cy="6530340"/>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766022" cy="6545900"/>
                    </a:xfrm>
                    <a:prstGeom prst="rect">
                      <a:avLst/>
                    </a:prstGeom>
                  </pic:spPr>
                </pic:pic>
              </a:graphicData>
            </a:graphic>
          </wp:inline>
        </w:drawing>
      </w:r>
    </w:p>
    <w:p>
      <w:pPr>
        <w:ind w:firstLine="480"/>
      </w:pPr>
    </w:p>
    <w:p>
      <w:pPr>
        <w:ind w:firstLine="480"/>
      </w:pPr>
      <w:r>
        <w:drawing>
          <wp:anchor distT="0" distB="0" distL="114300" distR="114300" simplePos="0" relativeHeight="251660288" behindDoc="0" locked="0" layoutInCell="1" allowOverlap="1">
            <wp:simplePos x="0" y="0"/>
            <wp:positionH relativeFrom="column">
              <wp:posOffset>6842760</wp:posOffset>
            </wp:positionH>
            <wp:positionV relativeFrom="paragraph">
              <wp:posOffset>624840</wp:posOffset>
            </wp:positionV>
            <wp:extent cx="6023610" cy="76200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23610" cy="76200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393065</wp:posOffset>
            </wp:positionH>
            <wp:positionV relativeFrom="paragraph">
              <wp:posOffset>297815</wp:posOffset>
            </wp:positionV>
            <wp:extent cx="6131560" cy="7924800"/>
            <wp:effectExtent l="0" t="0" r="317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31518" cy="7924800"/>
                    </a:xfrm>
                    <a:prstGeom prst="rect">
                      <a:avLst/>
                    </a:prstGeom>
                  </pic:spPr>
                </pic:pic>
              </a:graphicData>
            </a:graphic>
          </wp:anchor>
        </w:drawing>
      </w:r>
    </w:p>
    <w:p>
      <w:pPr>
        <w:ind w:firstLine="480"/>
      </w:pPr>
    </w:p>
    <w:p>
      <w:pPr>
        <w:ind w:firstLine="480"/>
      </w:pPr>
    </w:p>
    <w:p>
      <w:pPr>
        <w:ind w:firstLine="0" w:firstLineChars="0"/>
      </w:pPr>
    </w:p>
    <w:p>
      <w:pPr>
        <w:ind w:firstLine="0" w:firstLineChars="0"/>
      </w:pPr>
    </w:p>
    <w:p>
      <w:pPr>
        <w:ind w:firstLine="0" w:firstLineChars="0"/>
      </w:pPr>
    </w:p>
    <w:p>
      <w:pPr>
        <w:ind w:firstLine="0" w:firstLineChars="0"/>
      </w:pPr>
    </w:p>
    <w:p>
      <w:pPr>
        <w:pStyle w:val="78"/>
        <w:numPr>
          <w:ilvl w:val="0"/>
          <w:numId w:val="0"/>
        </w:numPr>
        <w:jc w:val="both"/>
      </w:pPr>
      <w:bookmarkStart w:id="6" w:name="_Toc3889171"/>
      <w:r>
        <w:rPr>
          <w:rFonts w:hint="eastAsia"/>
        </w:rPr>
        <w:t>关于《&lt;旺苍县历史文化名城保护规划（2017-2035）&gt;技术审查会纪要》的修改说明</w:t>
      </w:r>
      <w:bookmarkEnd w:id="6"/>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106" w:type="dxa"/>
          </w:tcPr>
          <w:p>
            <w:pPr>
              <w:ind w:firstLine="480"/>
              <w:jc w:val="center"/>
              <w:rPr>
                <w:rFonts w:eastAsia="宋体"/>
                <w:kern w:val="0"/>
              </w:rPr>
            </w:pPr>
            <w:r>
              <w:rPr>
                <w:rFonts w:eastAsia="宋体"/>
                <w:kern w:val="0"/>
              </w:rPr>
              <w:t>技术审查修改要求</w:t>
            </w:r>
          </w:p>
        </w:tc>
        <w:tc>
          <w:tcPr>
            <w:tcW w:w="5778" w:type="dxa"/>
          </w:tcPr>
          <w:p>
            <w:pPr>
              <w:ind w:firstLine="480"/>
              <w:jc w:val="center"/>
              <w:rPr>
                <w:rFonts w:eastAsia="宋体"/>
                <w:kern w:val="0"/>
              </w:rPr>
            </w:pPr>
            <w:r>
              <w:rPr>
                <w:rFonts w:eastAsia="宋体"/>
                <w:kern w:val="0"/>
              </w:rPr>
              <w:t>修改情况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p>
          <w:p>
            <w:pPr>
              <w:spacing w:line="264" w:lineRule="auto"/>
              <w:ind w:firstLine="480"/>
              <w:rPr>
                <w:rFonts w:eastAsia="宋体"/>
                <w:kern w:val="0"/>
              </w:rPr>
            </w:pPr>
            <w:r>
              <w:rPr>
                <w:rFonts w:hint="eastAsia" w:eastAsia="宋体"/>
                <w:kern w:val="0"/>
              </w:rPr>
              <w:t>（一）建议进一步加强与上位规划的衔接，补充《旺苍县城市总体规划（2</w:t>
            </w:r>
            <w:r>
              <w:rPr>
                <w:rFonts w:eastAsia="宋体"/>
                <w:kern w:val="0"/>
              </w:rPr>
              <w:t>017</w:t>
            </w:r>
            <w:r>
              <w:rPr>
                <w:rFonts w:hint="eastAsia" w:eastAsia="宋体"/>
                <w:kern w:val="0"/>
              </w:rPr>
              <w:t>-</w:t>
            </w:r>
            <w:r>
              <w:rPr>
                <w:rFonts w:eastAsia="宋体"/>
                <w:kern w:val="0"/>
              </w:rPr>
              <w:t>2035</w:t>
            </w:r>
            <w:r>
              <w:rPr>
                <w:rFonts w:hint="eastAsia" w:eastAsia="宋体"/>
                <w:kern w:val="0"/>
              </w:rPr>
              <w:t>）》中历史文化名城保护规划相关内容的分析，进一步优化并明确历史城区与历史文化街区保护范围确定的依据及保护要求；补充旺苍县“三线建设”及古蜀文化遗存等历史文化要素；认真梳理并准确表现历史城区的历史沿革及城市形态演变过程。</w:t>
            </w:r>
          </w:p>
        </w:tc>
        <w:tc>
          <w:tcPr>
            <w:tcW w:w="5778" w:type="dxa"/>
          </w:tcPr>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eastAsia="宋体"/>
                <w:kern w:val="0"/>
              </w:rPr>
              <w:t>文本第</w:t>
            </w:r>
            <w:r>
              <w:rPr>
                <w:rFonts w:hint="eastAsia" w:eastAsia="宋体"/>
                <w:kern w:val="0"/>
              </w:rPr>
              <w:t>3</w:t>
            </w:r>
            <w:r>
              <w:rPr>
                <w:rFonts w:eastAsia="宋体"/>
                <w:kern w:val="0"/>
              </w:rPr>
              <w:t>6条明确了与总</w:t>
            </w:r>
            <w:r>
              <w:rPr>
                <w:rFonts w:hint="eastAsia" w:eastAsia="宋体"/>
                <w:kern w:val="0"/>
              </w:rPr>
              <w:t>规</w:t>
            </w:r>
            <w:r>
              <w:rPr>
                <w:rFonts w:eastAsia="宋体"/>
                <w:kern w:val="0"/>
              </w:rPr>
              <w:t>用地的衔接</w:t>
            </w:r>
            <w:r>
              <w:rPr>
                <w:rFonts w:hint="eastAsia" w:eastAsia="宋体"/>
                <w:kern w:val="0"/>
              </w:rPr>
              <w:t>，</w:t>
            </w:r>
            <w:r>
              <w:rPr>
                <w:rFonts w:eastAsia="宋体"/>
                <w:kern w:val="0"/>
              </w:rPr>
              <w:t>在说明书第三章第一节阐述了总规关于历史文化保护的内容</w:t>
            </w:r>
            <w:r>
              <w:rPr>
                <w:rFonts w:hint="eastAsia" w:eastAsia="宋体"/>
                <w:kern w:val="0"/>
              </w:rPr>
              <w:t>；</w:t>
            </w:r>
          </w:p>
          <w:p>
            <w:pPr>
              <w:spacing w:line="264" w:lineRule="auto"/>
              <w:ind w:firstLine="480"/>
              <w:rPr>
                <w:rFonts w:eastAsia="宋体"/>
                <w:kern w:val="0"/>
              </w:rPr>
            </w:pPr>
            <w:r>
              <w:rPr>
                <w:rFonts w:hint="eastAsia" w:eastAsia="宋体"/>
                <w:kern w:val="0"/>
              </w:rPr>
              <w:t>说明书第七章第二节阐述了历史城区保护界线划定依据，第七章明确了历史城区保护要求；</w:t>
            </w:r>
          </w:p>
          <w:p>
            <w:pPr>
              <w:spacing w:line="264" w:lineRule="auto"/>
              <w:ind w:firstLine="480"/>
              <w:rPr>
                <w:rFonts w:eastAsia="宋体"/>
                <w:kern w:val="0"/>
              </w:rPr>
            </w:pPr>
            <w:r>
              <w:rPr>
                <w:rFonts w:hint="eastAsia" w:eastAsia="宋体"/>
                <w:kern w:val="0"/>
              </w:rPr>
              <w:t>说明书第八章第三节中3和4明确了历史文化街区保护范围的划定依据，第四、五、六节明确了历史文化街区保护要求；</w:t>
            </w:r>
          </w:p>
          <w:p>
            <w:pPr>
              <w:spacing w:line="264" w:lineRule="auto"/>
              <w:ind w:firstLine="480"/>
              <w:rPr>
                <w:rFonts w:eastAsia="宋体"/>
                <w:kern w:val="0"/>
              </w:rPr>
            </w:pPr>
            <w:r>
              <w:rPr>
                <w:rFonts w:eastAsia="宋体"/>
                <w:kern w:val="0"/>
              </w:rPr>
              <w:t>三线建设在说明书第二章第一节</w:t>
            </w:r>
            <w:r>
              <w:rPr>
                <w:rFonts w:hint="eastAsia" w:eastAsia="宋体"/>
                <w:kern w:val="0"/>
              </w:rPr>
              <w:t>、</w:t>
            </w:r>
            <w:r>
              <w:rPr>
                <w:rFonts w:eastAsia="宋体"/>
                <w:kern w:val="0"/>
              </w:rPr>
              <w:t>第三章</w:t>
            </w:r>
            <w:r>
              <w:rPr>
                <w:rFonts w:hint="eastAsia" w:eastAsia="宋体"/>
                <w:kern w:val="0"/>
              </w:rPr>
              <w:t>第二节、第四节、第四章第八节、第六章第三节、第九章第二节均有体现；</w:t>
            </w:r>
          </w:p>
          <w:p>
            <w:pPr>
              <w:spacing w:line="264" w:lineRule="auto"/>
              <w:ind w:firstLine="480"/>
              <w:rPr>
                <w:rFonts w:eastAsia="宋体"/>
                <w:kern w:val="0"/>
              </w:rPr>
            </w:pPr>
            <w:r>
              <w:rPr>
                <w:rFonts w:hint="eastAsia" w:eastAsia="宋体"/>
                <w:kern w:val="0"/>
              </w:rPr>
              <w:t>古蜀文化见说明书第三章第二节。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r>
              <w:rPr>
                <w:rFonts w:hint="eastAsia" w:eastAsia="宋体"/>
                <w:kern w:val="0"/>
              </w:rPr>
              <w:t>（二）建议加强与蜀道申遗等相关规划的衔接，深入挖掘古蜀道历史遗存，遗产范围内的保护要求应依据《四川省世界遗产保护条例》、《蜀道世界文化和自然遗产保护管理规划》确定；优化县域历史文化保护结构和内容体系；进一步明确木门镇保护范围及保护措施。</w:t>
            </w:r>
          </w:p>
        </w:tc>
        <w:tc>
          <w:tcPr>
            <w:tcW w:w="5778" w:type="dxa"/>
          </w:tcPr>
          <w:p>
            <w:pPr>
              <w:spacing w:line="264" w:lineRule="auto"/>
              <w:ind w:firstLine="480"/>
              <w:rPr>
                <w:rFonts w:eastAsia="宋体"/>
                <w:kern w:val="0"/>
              </w:rPr>
            </w:pPr>
          </w:p>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eastAsia="宋体"/>
                <w:kern w:val="0"/>
              </w:rPr>
              <w:t>在</w:t>
            </w:r>
            <w:r>
              <w:rPr>
                <w:rFonts w:hint="eastAsia" w:eastAsia="宋体"/>
                <w:kern w:val="0"/>
              </w:rPr>
              <w:t>文本</w:t>
            </w:r>
            <w:r>
              <w:rPr>
                <w:rFonts w:eastAsia="宋体"/>
                <w:kern w:val="0"/>
              </w:rPr>
              <w:t>第</w:t>
            </w:r>
            <w:r>
              <w:rPr>
                <w:rFonts w:hint="eastAsia" w:eastAsia="宋体"/>
                <w:kern w:val="0"/>
              </w:rPr>
              <w:t>1</w:t>
            </w:r>
            <w:r>
              <w:rPr>
                <w:rFonts w:eastAsia="宋体"/>
                <w:kern w:val="0"/>
              </w:rPr>
              <w:t>7条</w:t>
            </w:r>
            <w:r>
              <w:rPr>
                <w:rFonts w:hint="eastAsia" w:eastAsia="宋体"/>
                <w:kern w:val="0"/>
              </w:rPr>
              <w:t>、</w:t>
            </w:r>
            <w:r>
              <w:rPr>
                <w:rFonts w:eastAsia="宋体"/>
                <w:kern w:val="0"/>
              </w:rPr>
              <w:t>说明书第五章第三节修改</w:t>
            </w:r>
            <w:r>
              <w:rPr>
                <w:rFonts w:hint="eastAsia" w:eastAsia="宋体"/>
                <w:kern w:val="0"/>
              </w:rPr>
              <w:t>；</w:t>
            </w:r>
          </w:p>
          <w:p>
            <w:pPr>
              <w:spacing w:line="264" w:lineRule="auto"/>
              <w:ind w:firstLine="480"/>
              <w:rPr>
                <w:rFonts w:eastAsia="宋体"/>
                <w:kern w:val="0"/>
              </w:rPr>
            </w:pPr>
            <w:r>
              <w:rPr>
                <w:rFonts w:hint="eastAsia" w:eastAsia="宋体"/>
                <w:kern w:val="0"/>
              </w:rPr>
              <w:t>在说明书第五章第一节、文本第四章</w:t>
            </w:r>
            <w:r>
              <w:rPr>
                <w:rFonts w:eastAsia="宋体"/>
                <w:kern w:val="0"/>
              </w:rPr>
              <w:t>优化县域历史文化保护结构和内容体系</w:t>
            </w:r>
            <w:r>
              <w:rPr>
                <w:rFonts w:hint="eastAsia" w:eastAsia="宋体"/>
                <w:kern w:val="0"/>
              </w:rPr>
              <w:t>；</w:t>
            </w:r>
          </w:p>
          <w:p>
            <w:pPr>
              <w:spacing w:line="264" w:lineRule="auto"/>
              <w:ind w:firstLine="480"/>
              <w:rPr>
                <w:rFonts w:eastAsia="宋体"/>
                <w:kern w:val="0"/>
              </w:rPr>
            </w:pPr>
            <w:r>
              <w:rPr>
                <w:rFonts w:eastAsia="宋体"/>
                <w:kern w:val="0"/>
              </w:rPr>
              <w:t>木门镇保护范围及要求见文本第</w:t>
            </w:r>
            <w:r>
              <w:rPr>
                <w:rFonts w:hint="eastAsia" w:eastAsia="宋体"/>
                <w:kern w:val="0"/>
              </w:rPr>
              <w:t>1</w:t>
            </w:r>
            <w:r>
              <w:rPr>
                <w:rFonts w:eastAsia="宋体"/>
                <w:kern w:val="0"/>
              </w:rPr>
              <w:t>8条</w:t>
            </w:r>
            <w:r>
              <w:rPr>
                <w:rFonts w:hint="eastAsia" w:eastAsia="宋体"/>
                <w:kern w:val="0"/>
              </w:rPr>
              <w:t>、</w:t>
            </w:r>
            <w:r>
              <w:rPr>
                <w:rFonts w:eastAsia="宋体"/>
                <w:kern w:val="0"/>
              </w:rPr>
              <w:t>说明书第五章第四节</w:t>
            </w:r>
            <w:r>
              <w:rPr>
                <w:rFonts w:hint="eastAsia"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r>
              <w:rPr>
                <w:rFonts w:hint="eastAsia" w:eastAsia="宋体"/>
                <w:kern w:val="0"/>
              </w:rPr>
              <w:t>（三）建议分析总结名城保护现状存在的主要问题，以问题为导向，进一步细化县域与中心城区及历史城区现状文物保护单位、历史建筑等资源要素的分析，优化现状建筑评价体系，对建筑现状进行客观准确评价。</w:t>
            </w:r>
          </w:p>
        </w:tc>
        <w:tc>
          <w:tcPr>
            <w:tcW w:w="5778" w:type="dxa"/>
          </w:tcPr>
          <w:p>
            <w:pPr>
              <w:spacing w:line="264" w:lineRule="auto"/>
              <w:ind w:firstLine="480"/>
              <w:rPr>
                <w:rFonts w:eastAsia="宋体"/>
                <w:kern w:val="0"/>
              </w:rPr>
            </w:pPr>
          </w:p>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eastAsia="宋体"/>
                <w:kern w:val="0"/>
              </w:rPr>
              <w:t>现状文保单位</w:t>
            </w:r>
            <w:r>
              <w:rPr>
                <w:rFonts w:hint="eastAsia" w:eastAsia="宋体"/>
                <w:kern w:val="0"/>
              </w:rPr>
              <w:t>、</w:t>
            </w:r>
            <w:r>
              <w:rPr>
                <w:rFonts w:eastAsia="宋体"/>
                <w:kern w:val="0"/>
              </w:rPr>
              <w:t>历史建筑分析见说明书第九章第二节</w:t>
            </w:r>
            <w:r>
              <w:rPr>
                <w:rFonts w:hint="eastAsia" w:eastAsia="宋体"/>
                <w:kern w:val="0"/>
              </w:rPr>
              <w:t>、第三节。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p>
          <w:p>
            <w:pPr>
              <w:spacing w:line="264" w:lineRule="auto"/>
              <w:ind w:firstLine="480"/>
              <w:rPr>
                <w:rFonts w:eastAsia="宋体"/>
                <w:kern w:val="0"/>
              </w:rPr>
            </w:pPr>
            <w:r>
              <w:rPr>
                <w:rFonts w:hint="eastAsia" w:eastAsia="宋体"/>
                <w:kern w:val="0"/>
              </w:rPr>
              <w:t>（四）建议进一步细化中心城区层面的历史文化保护规划相关内容，明确红军城遗址群的保护范围与具体保护措施；认真研究工业文明带的保护范围并明确具体的保护措施；根据旺苍县发展实际进一步明确中心城区视线通廊形成的可能性并提出具体控制措施；明确中心城区与历史城区风貌协调控制的具体要求。</w:t>
            </w:r>
          </w:p>
        </w:tc>
        <w:tc>
          <w:tcPr>
            <w:tcW w:w="5778" w:type="dxa"/>
          </w:tcPr>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eastAsia="宋体"/>
                <w:kern w:val="0"/>
              </w:rPr>
              <w:t>红军城</w:t>
            </w:r>
            <w:r>
              <w:rPr>
                <w:rFonts w:hint="eastAsia" w:eastAsia="宋体"/>
                <w:kern w:val="0"/>
              </w:rPr>
              <w:t>遗址群的保护范围与具体保护措施见文本第2</w:t>
            </w:r>
            <w:r>
              <w:rPr>
                <w:rFonts w:eastAsia="宋体"/>
                <w:kern w:val="0"/>
              </w:rPr>
              <w:t>8条</w:t>
            </w:r>
            <w:r>
              <w:rPr>
                <w:rFonts w:hint="eastAsia" w:eastAsia="宋体"/>
                <w:kern w:val="0"/>
              </w:rPr>
              <w:t>，说明书第六章第五节。</w:t>
            </w:r>
          </w:p>
          <w:p>
            <w:pPr>
              <w:spacing w:line="264" w:lineRule="auto"/>
              <w:ind w:firstLine="480"/>
              <w:rPr>
                <w:rFonts w:eastAsia="宋体"/>
                <w:kern w:val="0"/>
              </w:rPr>
            </w:pPr>
            <w:r>
              <w:rPr>
                <w:rFonts w:hint="eastAsia" w:eastAsia="宋体"/>
                <w:kern w:val="0"/>
              </w:rPr>
              <w:t>工业文明带为东河印钞厂遗址建筑群，已按照总体规划要求纳入紫线范围，具体的保护措施见文本第2</w:t>
            </w:r>
            <w:r>
              <w:rPr>
                <w:rFonts w:eastAsia="宋体"/>
                <w:kern w:val="0"/>
              </w:rPr>
              <w:t>9条</w:t>
            </w:r>
            <w:r>
              <w:rPr>
                <w:rFonts w:hint="eastAsia" w:eastAsia="宋体"/>
                <w:kern w:val="0"/>
              </w:rPr>
              <w:t>，说明书第六章第六节。</w:t>
            </w:r>
          </w:p>
          <w:p>
            <w:pPr>
              <w:spacing w:line="264" w:lineRule="auto"/>
              <w:ind w:firstLine="480"/>
              <w:rPr>
                <w:rFonts w:eastAsia="宋体"/>
                <w:kern w:val="0"/>
              </w:rPr>
            </w:pPr>
            <w:r>
              <w:rPr>
                <w:rFonts w:hint="eastAsia" w:eastAsia="宋体"/>
                <w:kern w:val="0"/>
              </w:rPr>
              <w:t>中心城区视线通廊形成的可能性及控制措施见说明书第六章第三节。</w:t>
            </w:r>
          </w:p>
          <w:p>
            <w:pPr>
              <w:spacing w:line="264" w:lineRule="auto"/>
              <w:ind w:firstLine="480"/>
              <w:rPr>
                <w:rFonts w:eastAsia="宋体"/>
                <w:kern w:val="0"/>
              </w:rPr>
            </w:pPr>
            <w:r>
              <w:rPr>
                <w:rFonts w:hint="eastAsia" w:eastAsia="宋体"/>
                <w:kern w:val="0"/>
              </w:rPr>
              <w:t>中心城区与历史城区风貌协调控制见文本第2</w:t>
            </w:r>
            <w:r>
              <w:rPr>
                <w:rFonts w:eastAsia="宋体"/>
                <w:kern w:val="0"/>
              </w:rPr>
              <w:t>7条</w:t>
            </w:r>
            <w:r>
              <w:rPr>
                <w:rFonts w:hint="eastAsia" w:eastAsia="宋体"/>
                <w:kern w:val="0"/>
              </w:rPr>
              <w:t>、3</w:t>
            </w:r>
            <w:r>
              <w:rPr>
                <w:rFonts w:eastAsia="宋体"/>
                <w:kern w:val="0"/>
              </w:rPr>
              <w:t>5条</w:t>
            </w:r>
            <w:r>
              <w:rPr>
                <w:rFonts w:hint="eastAsia" w:eastAsia="宋体"/>
                <w:kern w:val="0"/>
              </w:rPr>
              <w:t>，说明书第六章第三节、第七章第七节。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r>
              <w:rPr>
                <w:rFonts w:hint="eastAsia" w:eastAsia="宋体"/>
                <w:kern w:val="0"/>
              </w:rPr>
              <w:t>（五）建议进一步加强历史城区现状调查，合理测算历史城区内的人口容量；根据旺苍县城市发展实际优化历史城区用地布局、完善市政设施、公共服务设施与防灾体系、交通系统组织；严格保护古城“鱼骨形”格局和空间肌理；合理确定并控制历史城区内的视线通廊。</w:t>
            </w:r>
          </w:p>
        </w:tc>
        <w:tc>
          <w:tcPr>
            <w:tcW w:w="5778" w:type="dxa"/>
          </w:tcPr>
          <w:p>
            <w:pPr>
              <w:spacing w:line="264" w:lineRule="auto"/>
              <w:ind w:firstLine="480"/>
              <w:rPr>
                <w:rFonts w:eastAsia="宋体"/>
                <w:kern w:val="0"/>
              </w:rPr>
            </w:pPr>
          </w:p>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eastAsia="宋体"/>
                <w:kern w:val="0"/>
              </w:rPr>
              <w:t>历史城区</w:t>
            </w:r>
            <w:r>
              <w:rPr>
                <w:rFonts w:hint="eastAsia" w:eastAsia="宋体"/>
                <w:kern w:val="0"/>
              </w:rPr>
              <w:t>人口、</w:t>
            </w:r>
            <w:r>
              <w:rPr>
                <w:rFonts w:eastAsia="宋体"/>
                <w:kern w:val="0"/>
              </w:rPr>
              <w:t>功能及配套</w:t>
            </w:r>
            <w:r>
              <w:rPr>
                <w:rFonts w:hint="eastAsia" w:eastAsia="宋体"/>
                <w:kern w:val="0"/>
              </w:rPr>
              <w:t>、</w:t>
            </w:r>
            <w:r>
              <w:rPr>
                <w:rFonts w:eastAsia="宋体"/>
                <w:kern w:val="0"/>
              </w:rPr>
              <w:t>肌理及格局</w:t>
            </w:r>
            <w:r>
              <w:rPr>
                <w:rFonts w:hint="eastAsia" w:eastAsia="宋体"/>
                <w:kern w:val="0"/>
              </w:rPr>
              <w:t>见文本第六章，说明书第七章。</w:t>
            </w:r>
          </w:p>
          <w:p>
            <w:pPr>
              <w:spacing w:line="264" w:lineRule="auto"/>
              <w:ind w:firstLine="480"/>
              <w:rPr>
                <w:rFonts w:eastAsia="宋体"/>
                <w:kern w:val="0"/>
              </w:rPr>
            </w:pPr>
            <w:r>
              <w:rPr>
                <w:rFonts w:eastAsia="宋体"/>
                <w:kern w:val="0"/>
              </w:rPr>
              <w:t>历史城区视线通廊及控制要求见文本</w:t>
            </w:r>
            <w:r>
              <w:rPr>
                <w:rFonts w:hint="eastAsia" w:eastAsia="宋体"/>
                <w:kern w:val="0"/>
              </w:rPr>
              <w:t>3</w:t>
            </w:r>
            <w:r>
              <w:rPr>
                <w:rFonts w:eastAsia="宋体"/>
                <w:kern w:val="0"/>
              </w:rPr>
              <w:t>4条</w:t>
            </w:r>
            <w:r>
              <w:rPr>
                <w:rFonts w:hint="eastAsia" w:eastAsia="宋体"/>
                <w:kern w:val="0"/>
              </w:rPr>
              <w:t>，</w:t>
            </w:r>
            <w:r>
              <w:rPr>
                <w:rFonts w:eastAsia="宋体"/>
                <w:kern w:val="0"/>
              </w:rPr>
              <w:t>说明书第七章第六节</w:t>
            </w:r>
            <w:r>
              <w:rPr>
                <w:rFonts w:hint="eastAsia"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r>
              <w:rPr>
                <w:rFonts w:hint="eastAsia" w:eastAsia="宋体"/>
                <w:kern w:val="0"/>
              </w:rPr>
              <w:t>（六）建议进一步挖掘历史城区内传统街巷和传统巷院空间，严格保护历史文化街区的街巷格局并提出具体的保护措施与保护要求；加强对建筑高度及风貌色彩的控制分析并提出具体可行的规划建议。</w:t>
            </w:r>
          </w:p>
        </w:tc>
        <w:tc>
          <w:tcPr>
            <w:tcW w:w="5778" w:type="dxa"/>
          </w:tcPr>
          <w:p>
            <w:pPr>
              <w:spacing w:line="264" w:lineRule="auto"/>
              <w:ind w:firstLine="480"/>
              <w:rPr>
                <w:rFonts w:eastAsia="宋体"/>
                <w:kern w:val="0"/>
              </w:rPr>
            </w:pPr>
          </w:p>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hint="eastAsia" w:eastAsia="宋体"/>
                <w:kern w:val="0"/>
              </w:rPr>
              <w:t>历史城区内传统街巷和传统巷院空间及保护要求见文本第3</w:t>
            </w:r>
            <w:r>
              <w:rPr>
                <w:rFonts w:eastAsia="宋体"/>
                <w:kern w:val="0"/>
              </w:rPr>
              <w:t>3条</w:t>
            </w:r>
            <w:r>
              <w:rPr>
                <w:rFonts w:hint="eastAsia" w:eastAsia="宋体"/>
                <w:kern w:val="0"/>
              </w:rPr>
              <w:t>，说明书第七章第五节。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p>
          <w:p>
            <w:pPr>
              <w:spacing w:line="264" w:lineRule="auto"/>
              <w:ind w:firstLine="480"/>
              <w:rPr>
                <w:rFonts w:eastAsia="宋体"/>
                <w:kern w:val="0"/>
              </w:rPr>
            </w:pPr>
          </w:p>
          <w:p>
            <w:pPr>
              <w:spacing w:line="264" w:lineRule="auto"/>
              <w:ind w:firstLine="480"/>
              <w:rPr>
                <w:rFonts w:eastAsia="宋体"/>
                <w:kern w:val="0"/>
              </w:rPr>
            </w:pPr>
            <w:r>
              <w:rPr>
                <w:rFonts w:hint="eastAsia" w:eastAsia="宋体"/>
                <w:kern w:val="0"/>
              </w:rPr>
              <w:t>（七）建议进一步核实文物保护单位的名称、保护范围和建设控制地带；明确历史建筑确定的标准；完善推荐历史建筑的名单并补充历史建筑图则，图则中补充现状实物照片；补充非物质文化遗产保护名录、图纸及图片。</w:t>
            </w:r>
          </w:p>
        </w:tc>
        <w:tc>
          <w:tcPr>
            <w:tcW w:w="5778" w:type="dxa"/>
          </w:tcPr>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hint="eastAsia" w:eastAsia="宋体"/>
                <w:kern w:val="0"/>
              </w:rPr>
              <w:t>文物保护单位的名称见说明书第九章第二节。保护范围和建设控制地带依据文物保护法的要求执行，见文本第5</w:t>
            </w:r>
            <w:r>
              <w:rPr>
                <w:rFonts w:eastAsia="宋体"/>
                <w:kern w:val="0"/>
              </w:rPr>
              <w:t>2条</w:t>
            </w:r>
            <w:r>
              <w:rPr>
                <w:rFonts w:hint="eastAsia" w:eastAsia="宋体"/>
                <w:kern w:val="0"/>
              </w:rPr>
              <w:t>，</w:t>
            </w:r>
            <w:r>
              <w:rPr>
                <w:rFonts w:eastAsia="宋体"/>
                <w:kern w:val="0"/>
              </w:rPr>
              <w:t>说明书</w:t>
            </w:r>
            <w:r>
              <w:rPr>
                <w:rFonts w:hint="eastAsia" w:eastAsia="宋体"/>
                <w:kern w:val="0"/>
              </w:rPr>
              <w:t>第九章第二节。</w:t>
            </w:r>
          </w:p>
          <w:p>
            <w:pPr>
              <w:spacing w:line="264" w:lineRule="auto"/>
              <w:ind w:firstLine="480"/>
              <w:rPr>
                <w:rFonts w:eastAsia="宋体"/>
                <w:kern w:val="0"/>
              </w:rPr>
            </w:pPr>
            <w:r>
              <w:rPr>
                <w:rFonts w:eastAsia="宋体"/>
                <w:kern w:val="0"/>
              </w:rPr>
              <w:t>历史建筑确定标准及名单见文本第</w:t>
            </w:r>
            <w:r>
              <w:rPr>
                <w:rFonts w:hint="eastAsia" w:eastAsia="宋体"/>
                <w:kern w:val="0"/>
              </w:rPr>
              <w:t>5</w:t>
            </w:r>
            <w:r>
              <w:rPr>
                <w:rFonts w:eastAsia="宋体"/>
                <w:kern w:val="0"/>
              </w:rPr>
              <w:t>2条</w:t>
            </w:r>
            <w:r>
              <w:rPr>
                <w:rFonts w:hint="eastAsia" w:eastAsia="宋体"/>
                <w:kern w:val="0"/>
              </w:rPr>
              <w:t>，</w:t>
            </w:r>
            <w:r>
              <w:rPr>
                <w:rFonts w:eastAsia="宋体"/>
                <w:kern w:val="0"/>
              </w:rPr>
              <w:t>说明书第九章第三节</w:t>
            </w:r>
            <w:r>
              <w:rPr>
                <w:rFonts w:hint="eastAsia" w:eastAsia="宋体"/>
                <w:kern w:val="0"/>
              </w:rPr>
              <w:t>。</w:t>
            </w:r>
          </w:p>
          <w:p>
            <w:pPr>
              <w:spacing w:line="264" w:lineRule="auto"/>
              <w:ind w:firstLine="480"/>
              <w:rPr>
                <w:rFonts w:eastAsia="宋体"/>
                <w:kern w:val="0"/>
              </w:rPr>
            </w:pPr>
            <w:r>
              <w:rPr>
                <w:rFonts w:hint="eastAsia" w:eastAsia="宋体"/>
                <w:kern w:val="0"/>
              </w:rPr>
              <w:t>推荐历史建筑名单见文本第五十二条第2 点、说</w:t>
            </w:r>
          </w:p>
          <w:p>
            <w:pPr>
              <w:spacing w:line="264" w:lineRule="auto"/>
              <w:ind w:firstLine="0" w:firstLineChars="0"/>
              <w:rPr>
                <w:rFonts w:eastAsia="宋体"/>
                <w:kern w:val="0"/>
              </w:rPr>
            </w:pPr>
            <w:r>
              <w:rPr>
                <w:rFonts w:hint="eastAsia" w:eastAsia="宋体"/>
                <w:kern w:val="0"/>
              </w:rPr>
              <w:t>明书第九章第三节，见附表七：拟申报历史建筑一览</w:t>
            </w:r>
          </w:p>
          <w:p>
            <w:pPr>
              <w:spacing w:line="264" w:lineRule="auto"/>
              <w:ind w:firstLine="0" w:firstLineChars="0"/>
              <w:rPr>
                <w:rFonts w:eastAsia="宋体"/>
                <w:kern w:val="0"/>
              </w:rPr>
            </w:pPr>
            <w:r>
              <w:rPr>
                <w:rFonts w:hint="eastAsia" w:eastAsia="宋体"/>
                <w:kern w:val="0"/>
              </w:rPr>
              <w:t>表。</w:t>
            </w:r>
          </w:p>
          <w:p>
            <w:pPr>
              <w:spacing w:line="264" w:lineRule="auto"/>
              <w:ind w:firstLine="480"/>
              <w:rPr>
                <w:rFonts w:eastAsia="宋体"/>
                <w:kern w:val="0"/>
              </w:rPr>
            </w:pPr>
            <w:r>
              <w:rPr>
                <w:rFonts w:eastAsia="宋体"/>
                <w:kern w:val="0"/>
              </w:rPr>
              <w:t>历史建筑图则见图纸</w:t>
            </w:r>
            <w:r>
              <w:rPr>
                <w:rFonts w:hint="eastAsia" w:eastAsia="宋体"/>
                <w:kern w:val="0"/>
              </w:rPr>
              <w:t>；</w:t>
            </w:r>
          </w:p>
          <w:p>
            <w:pPr>
              <w:spacing w:line="264" w:lineRule="auto"/>
              <w:ind w:firstLine="480"/>
              <w:rPr>
                <w:rFonts w:eastAsia="宋体"/>
                <w:kern w:val="0"/>
              </w:rPr>
            </w:pPr>
            <w:r>
              <w:rPr>
                <w:rFonts w:eastAsia="宋体"/>
                <w:kern w:val="0"/>
              </w:rPr>
              <w:t>非物质文化遗产名录见文本第</w:t>
            </w:r>
            <w:r>
              <w:rPr>
                <w:rFonts w:hint="eastAsia" w:eastAsia="宋体"/>
                <w:kern w:val="0"/>
              </w:rPr>
              <w:t>5</w:t>
            </w:r>
            <w:r>
              <w:rPr>
                <w:rFonts w:eastAsia="宋体"/>
                <w:kern w:val="0"/>
              </w:rPr>
              <w:t>7条</w:t>
            </w:r>
            <w:r>
              <w:rPr>
                <w:rFonts w:hint="eastAsia" w:eastAsia="宋体"/>
                <w:kern w:val="0"/>
              </w:rPr>
              <w:t>，</w:t>
            </w:r>
            <w:r>
              <w:rPr>
                <w:rFonts w:eastAsia="宋体"/>
                <w:kern w:val="0"/>
              </w:rPr>
              <w:t>说明书第十章第一节</w:t>
            </w:r>
            <w:r>
              <w:rPr>
                <w:rFonts w:hint="eastAsia" w:eastAsia="宋体"/>
                <w:kern w:val="0"/>
              </w:rPr>
              <w:t>。</w:t>
            </w:r>
          </w:p>
          <w:p>
            <w:pPr>
              <w:spacing w:line="264" w:lineRule="auto"/>
              <w:ind w:firstLine="480"/>
              <w:rPr>
                <w:rFonts w:eastAsia="宋体"/>
                <w:kern w:val="0"/>
              </w:rPr>
            </w:pPr>
            <w:r>
              <w:rPr>
                <w:rFonts w:eastAsia="宋体"/>
                <w:kern w:val="0"/>
              </w:rPr>
              <w:t>非物质文化遗产保护图纸见图纸部分</w:t>
            </w:r>
            <w:r>
              <w:rPr>
                <w:rFonts w:hint="eastAsia"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spacing w:line="264" w:lineRule="auto"/>
              <w:ind w:firstLine="480"/>
              <w:rPr>
                <w:rFonts w:eastAsia="宋体"/>
                <w:kern w:val="0"/>
              </w:rPr>
            </w:pPr>
            <w:r>
              <w:rPr>
                <w:rFonts w:hint="eastAsia" w:eastAsia="宋体"/>
                <w:kern w:val="0"/>
              </w:rPr>
              <w:t>（八）建议进一步校核并规范文本和图纸内容。补充历史城区在中心城区的区位关系图；规范图纸表达，提高文本和图纸的对应性和准确性；规范文物保护相关法律法规名称、内容及非物质文化遗产保护工作方针的表述；补充基础资料汇编。</w:t>
            </w:r>
          </w:p>
        </w:tc>
        <w:tc>
          <w:tcPr>
            <w:tcW w:w="5778" w:type="dxa"/>
          </w:tcPr>
          <w:p>
            <w:pPr>
              <w:spacing w:line="264" w:lineRule="auto"/>
              <w:ind w:firstLine="480"/>
              <w:rPr>
                <w:rFonts w:eastAsia="宋体"/>
                <w:kern w:val="0"/>
              </w:rPr>
            </w:pPr>
          </w:p>
          <w:p>
            <w:pPr>
              <w:spacing w:line="264" w:lineRule="auto"/>
              <w:ind w:firstLine="480"/>
              <w:rPr>
                <w:rFonts w:eastAsia="宋体"/>
                <w:kern w:val="0"/>
              </w:rPr>
            </w:pPr>
          </w:p>
          <w:p>
            <w:pPr>
              <w:spacing w:line="264" w:lineRule="auto"/>
              <w:ind w:firstLine="480"/>
              <w:rPr>
                <w:rFonts w:eastAsia="宋体"/>
                <w:kern w:val="0"/>
              </w:rPr>
            </w:pPr>
            <w:r>
              <w:rPr>
                <w:rFonts w:eastAsia="宋体"/>
                <w:kern w:val="0"/>
              </w:rPr>
              <w:t>已修改</w:t>
            </w:r>
            <w:r>
              <w:rPr>
                <w:rFonts w:hint="eastAsia" w:eastAsia="宋体"/>
                <w:kern w:val="0"/>
              </w:rPr>
              <w:t>。</w:t>
            </w:r>
          </w:p>
          <w:p>
            <w:pPr>
              <w:spacing w:line="264" w:lineRule="auto"/>
              <w:ind w:firstLine="480"/>
              <w:rPr>
                <w:rFonts w:eastAsia="宋体"/>
                <w:kern w:val="0"/>
              </w:rPr>
            </w:pPr>
            <w:r>
              <w:rPr>
                <w:rFonts w:hint="eastAsia" w:eastAsia="宋体"/>
                <w:kern w:val="0"/>
              </w:rPr>
              <w:t>已进一步校核并规范文本和图纸内容。</w:t>
            </w:r>
          </w:p>
          <w:p>
            <w:pPr>
              <w:spacing w:line="264" w:lineRule="auto"/>
              <w:ind w:firstLine="480"/>
              <w:rPr>
                <w:rFonts w:eastAsia="宋体"/>
                <w:kern w:val="0"/>
              </w:rPr>
            </w:pPr>
            <w:r>
              <w:rPr>
                <w:rFonts w:hint="eastAsia" w:eastAsia="宋体"/>
                <w:kern w:val="0"/>
              </w:rPr>
              <w:t>历史城区在中心城区的区位关系图见图纸。</w:t>
            </w:r>
          </w:p>
          <w:p>
            <w:pPr>
              <w:spacing w:line="264" w:lineRule="auto"/>
              <w:ind w:firstLine="480"/>
              <w:rPr>
                <w:rFonts w:eastAsia="宋体"/>
                <w:kern w:val="0"/>
              </w:rPr>
            </w:pPr>
            <w:r>
              <w:rPr>
                <w:rFonts w:eastAsia="宋体"/>
                <w:kern w:val="0"/>
              </w:rPr>
              <w:t>已</w:t>
            </w:r>
            <w:r>
              <w:rPr>
                <w:rFonts w:hint="eastAsia" w:eastAsia="宋体"/>
                <w:kern w:val="0"/>
              </w:rPr>
              <w:t>规范文物保护相关法律法规名称。</w:t>
            </w:r>
          </w:p>
          <w:p>
            <w:pPr>
              <w:spacing w:line="264" w:lineRule="auto"/>
              <w:ind w:firstLine="480"/>
              <w:rPr>
                <w:rFonts w:eastAsia="宋体"/>
                <w:kern w:val="0"/>
              </w:rPr>
            </w:pPr>
            <w:r>
              <w:rPr>
                <w:rFonts w:eastAsia="宋体"/>
                <w:kern w:val="0"/>
              </w:rPr>
              <w:t>基础资料汇编已补充</w:t>
            </w:r>
            <w:r>
              <w:rPr>
                <w:rFonts w:hint="eastAsia" w:eastAsia="宋体"/>
                <w:kern w:val="0"/>
              </w:rPr>
              <w:t>。</w:t>
            </w:r>
          </w:p>
        </w:tc>
      </w:tr>
    </w:tbl>
    <w:p>
      <w:pPr>
        <w:ind w:firstLine="0" w:firstLineChars="0"/>
        <w:sectPr>
          <w:pgSz w:w="23814" w:h="16839"/>
          <w:pgMar w:top="1440" w:right="1800" w:bottom="1440" w:left="1800" w:header="851" w:footer="992" w:gutter="0"/>
          <w:cols w:space="425" w:num="2"/>
          <w:docGrid w:type="lines" w:linePitch="326" w:charSpace="0"/>
        </w:sectPr>
      </w:pPr>
    </w:p>
    <w:p>
      <w:pPr>
        <w:pStyle w:val="78"/>
        <w:numPr>
          <w:ilvl w:val="0"/>
          <w:numId w:val="0"/>
        </w:numPr>
        <w:jc w:val="both"/>
      </w:pPr>
      <w:bookmarkStart w:id="7" w:name="_Toc3889172"/>
      <w:r>
        <w:drawing>
          <wp:anchor distT="0" distB="0" distL="114300" distR="114300" simplePos="0" relativeHeight="251663360" behindDoc="0" locked="0" layoutInCell="1" allowOverlap="1">
            <wp:simplePos x="0" y="0"/>
            <wp:positionH relativeFrom="column">
              <wp:posOffset>6705600</wp:posOffset>
            </wp:positionH>
            <wp:positionV relativeFrom="paragraph">
              <wp:posOffset>837565</wp:posOffset>
            </wp:positionV>
            <wp:extent cx="5410200" cy="7363460"/>
            <wp:effectExtent l="0" t="0" r="0" b="889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10200" cy="7363460"/>
                    </a:xfrm>
                    <a:prstGeom prst="rect">
                      <a:avLst/>
                    </a:prstGeom>
                  </pic:spPr>
                </pic:pic>
              </a:graphicData>
            </a:graphic>
          </wp:anchor>
        </w:drawing>
      </w:r>
      <w:r>
        <w:rPr>
          <w:rFonts w:hint="eastAsia"/>
        </w:rPr>
        <w:t>广元市城乡规划委员会办公室《旺苍县历史文化名城保护规划（2017-2035）》市级部门联席审查会会议纪要</w:t>
      </w:r>
      <w:bookmarkEnd w:id="7"/>
    </w:p>
    <w:p>
      <w:pPr>
        <w:pStyle w:val="97"/>
        <w:spacing w:before="163"/>
        <w:ind w:left="1454"/>
        <w:sectPr>
          <w:pgSz w:w="23814" w:h="16839"/>
          <w:pgMar w:top="1440" w:right="1800" w:bottom="1440" w:left="1800" w:header="851" w:footer="992" w:gutter="0"/>
          <w:cols w:space="425" w:num="2"/>
          <w:docGrid w:type="lines" w:linePitch="326" w:charSpace="0"/>
        </w:sectPr>
      </w:pPr>
      <w:r>
        <w:drawing>
          <wp:anchor distT="0" distB="0" distL="114300" distR="114300" simplePos="0" relativeHeight="251665408" behindDoc="0" locked="0" layoutInCell="1" allowOverlap="1">
            <wp:simplePos x="0" y="0"/>
            <wp:positionH relativeFrom="column">
              <wp:posOffset>1143000</wp:posOffset>
            </wp:positionH>
            <wp:positionV relativeFrom="paragraph">
              <wp:posOffset>3832225</wp:posOffset>
            </wp:positionV>
            <wp:extent cx="3039110" cy="3980180"/>
            <wp:effectExtent l="0" t="0" r="8890" b="190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39110" cy="3979954"/>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margin">
              <wp:posOffset>660400</wp:posOffset>
            </wp:positionH>
            <wp:positionV relativeFrom="paragraph">
              <wp:posOffset>207010</wp:posOffset>
            </wp:positionV>
            <wp:extent cx="3810000" cy="327723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10000" cy="3277235"/>
                    </a:xfrm>
                    <a:prstGeom prst="rect">
                      <a:avLst/>
                    </a:prstGeom>
                  </pic:spPr>
                </pic:pic>
              </a:graphicData>
            </a:graphic>
          </wp:anchor>
        </w:drawing>
      </w:r>
    </w:p>
    <w:p>
      <w:pPr>
        <w:pStyle w:val="78"/>
        <w:numPr>
          <w:ilvl w:val="0"/>
          <w:numId w:val="0"/>
        </w:numPr>
        <w:jc w:val="both"/>
      </w:pPr>
      <w:bookmarkStart w:id="8" w:name="_Toc3889173"/>
      <w:r>
        <w:rPr>
          <w:rFonts w:hint="eastAsia"/>
        </w:rPr>
        <w:t>关于《广元市城乡规划委员会办公室&lt;旺苍县历史文化名城保护规划（2017-2035）&gt;市级部门联席审查会会议纪要》的修改说明</w:t>
      </w:r>
      <w:bookmarkEnd w:id="8"/>
    </w:p>
    <w:p>
      <w:pPr>
        <w:pStyle w:val="78"/>
        <w:numPr>
          <w:ilvl w:val="0"/>
          <w:numId w:val="0"/>
        </w:numPr>
        <w:jc w:val="both"/>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4536"/>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88" w:type="dxa"/>
          </w:tcPr>
          <w:p>
            <w:pPr>
              <w:spacing w:line="264" w:lineRule="auto"/>
              <w:ind w:firstLine="480"/>
              <w:rPr>
                <w:rFonts w:eastAsia="宋体"/>
                <w:kern w:val="0"/>
              </w:rPr>
            </w:pPr>
            <w:r>
              <w:rPr>
                <w:rFonts w:hint="eastAsia" w:eastAsia="宋体"/>
                <w:kern w:val="0"/>
              </w:rPr>
              <w:t>序号</w:t>
            </w:r>
          </w:p>
        </w:tc>
        <w:tc>
          <w:tcPr>
            <w:tcW w:w="4536" w:type="dxa"/>
          </w:tcPr>
          <w:p>
            <w:pPr>
              <w:spacing w:line="264" w:lineRule="auto"/>
              <w:ind w:firstLine="480"/>
              <w:rPr>
                <w:rFonts w:eastAsia="宋体"/>
                <w:kern w:val="0"/>
              </w:rPr>
            </w:pPr>
            <w:r>
              <w:rPr>
                <w:rFonts w:hint="eastAsia" w:eastAsia="宋体"/>
                <w:kern w:val="0"/>
              </w:rPr>
              <w:t>修改意见</w:t>
            </w:r>
          </w:p>
        </w:tc>
        <w:tc>
          <w:tcPr>
            <w:tcW w:w="3252" w:type="dxa"/>
          </w:tcPr>
          <w:p>
            <w:pPr>
              <w:spacing w:line="264" w:lineRule="auto"/>
              <w:ind w:firstLine="480"/>
              <w:rPr>
                <w:rFonts w:eastAsia="宋体"/>
                <w:kern w:val="0"/>
              </w:rPr>
            </w:pPr>
            <w:r>
              <w:rPr>
                <w:rFonts w:hint="eastAsia" w:eastAsia="宋体"/>
                <w:kern w:val="0"/>
              </w:rPr>
              <w:t>修改情况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264" w:lineRule="auto"/>
              <w:ind w:firstLine="480"/>
              <w:rPr>
                <w:rFonts w:eastAsia="宋体"/>
                <w:kern w:val="0"/>
              </w:rPr>
            </w:pPr>
            <w:r>
              <w:rPr>
                <w:rFonts w:hint="eastAsia" w:eastAsia="宋体"/>
                <w:kern w:val="0"/>
              </w:rPr>
              <w:t>（一）</w:t>
            </w:r>
          </w:p>
        </w:tc>
        <w:tc>
          <w:tcPr>
            <w:tcW w:w="4536" w:type="dxa"/>
          </w:tcPr>
          <w:p>
            <w:pPr>
              <w:spacing w:line="264" w:lineRule="auto"/>
              <w:ind w:firstLine="480"/>
              <w:rPr>
                <w:rFonts w:eastAsia="宋体"/>
                <w:kern w:val="0"/>
              </w:rPr>
            </w:pPr>
            <w:r>
              <w:rPr>
                <w:rFonts w:hint="eastAsia" w:eastAsia="宋体"/>
                <w:kern w:val="0"/>
              </w:rPr>
              <w:t>梳理城市发展渊源，进一步分析并解读历史城区及周边环境现状，准确把握保护与开发的关系，在保护历史街区肌理的基础上优化历史城区公共活动空间，体现保护、利用、传承和创新的规划理念。</w:t>
            </w:r>
          </w:p>
        </w:tc>
        <w:tc>
          <w:tcPr>
            <w:tcW w:w="3252" w:type="dxa"/>
          </w:tcPr>
          <w:p>
            <w:pPr>
              <w:spacing w:line="264" w:lineRule="auto"/>
              <w:ind w:firstLine="480"/>
              <w:rPr>
                <w:rFonts w:eastAsia="宋体"/>
                <w:kern w:val="0"/>
              </w:rPr>
            </w:pPr>
            <w:r>
              <w:rPr>
                <w:rFonts w:hint="eastAsia" w:eastAsia="宋体"/>
                <w:kern w:val="0"/>
              </w:rPr>
              <w:t>1. 历史城区及周边环境现状见文本第8条：名城特色；</w:t>
            </w:r>
          </w:p>
          <w:p>
            <w:pPr>
              <w:spacing w:line="264" w:lineRule="auto"/>
              <w:ind w:firstLine="480"/>
              <w:rPr>
                <w:rFonts w:eastAsia="宋体"/>
                <w:kern w:val="0"/>
              </w:rPr>
            </w:pPr>
            <w:r>
              <w:rPr>
                <w:rFonts w:hint="eastAsia" w:eastAsia="宋体"/>
                <w:kern w:val="0"/>
              </w:rPr>
              <w:t>2. 历史城区公共活动空间见文本第33条，47条，48条。</w:t>
            </w:r>
          </w:p>
          <w:p>
            <w:pPr>
              <w:spacing w:line="264" w:lineRule="auto"/>
              <w:ind w:firstLine="480"/>
              <w:rPr>
                <w:rFonts w:eastAsia="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264" w:lineRule="auto"/>
              <w:ind w:firstLine="480"/>
              <w:rPr>
                <w:rFonts w:eastAsia="宋体"/>
                <w:kern w:val="0"/>
              </w:rPr>
            </w:pPr>
            <w:r>
              <w:rPr>
                <w:rFonts w:hint="eastAsia" w:eastAsia="宋体"/>
                <w:kern w:val="0"/>
              </w:rPr>
              <w:t>（二）</w:t>
            </w:r>
          </w:p>
        </w:tc>
        <w:tc>
          <w:tcPr>
            <w:tcW w:w="4536" w:type="dxa"/>
          </w:tcPr>
          <w:p>
            <w:pPr>
              <w:spacing w:line="264" w:lineRule="auto"/>
              <w:ind w:firstLine="480"/>
              <w:rPr>
                <w:rFonts w:eastAsia="宋体"/>
                <w:kern w:val="0"/>
              </w:rPr>
            </w:pPr>
            <w:r>
              <w:rPr>
                <w:rFonts w:hint="eastAsia" w:eastAsia="宋体"/>
                <w:kern w:val="0"/>
              </w:rPr>
              <w:t>增加紫线范围图，明确历史城区保护范围，细化禁止建设或开发项目清单，同时对历史城区的商业业态提出要求，控制居住人口。</w:t>
            </w:r>
          </w:p>
        </w:tc>
        <w:tc>
          <w:tcPr>
            <w:tcW w:w="3252" w:type="dxa"/>
          </w:tcPr>
          <w:p>
            <w:pPr>
              <w:pStyle w:val="62"/>
              <w:numPr>
                <w:ilvl w:val="0"/>
                <w:numId w:val="14"/>
              </w:numPr>
              <w:adjustRightInd/>
              <w:snapToGrid/>
              <w:spacing w:line="264" w:lineRule="auto"/>
              <w:ind w:firstLineChars="0"/>
              <w:rPr>
                <w:rFonts w:eastAsia="宋体"/>
                <w:kern w:val="0"/>
                <w:sz w:val="24"/>
                <w:szCs w:val="24"/>
              </w:rPr>
            </w:pPr>
            <w:r>
              <w:rPr>
                <w:rFonts w:hint="eastAsia" w:eastAsia="宋体"/>
                <w:kern w:val="0"/>
                <w:sz w:val="24"/>
                <w:szCs w:val="24"/>
              </w:rPr>
              <w:t>紫线范围图见图纸</w:t>
            </w:r>
            <w:r>
              <w:rPr>
                <w:rFonts w:eastAsia="宋体"/>
                <w:kern w:val="0"/>
                <w:sz w:val="24"/>
                <w:szCs w:val="24"/>
              </w:rPr>
              <w:t>NO.2-7</w:t>
            </w:r>
            <w:r>
              <w:rPr>
                <w:rFonts w:hint="eastAsia" w:eastAsia="宋体"/>
                <w:kern w:val="0"/>
                <w:sz w:val="24"/>
                <w:szCs w:val="24"/>
              </w:rPr>
              <w:t>；</w:t>
            </w:r>
          </w:p>
          <w:p>
            <w:pPr>
              <w:pStyle w:val="62"/>
              <w:numPr>
                <w:ilvl w:val="0"/>
                <w:numId w:val="14"/>
              </w:numPr>
              <w:adjustRightInd/>
              <w:snapToGrid/>
              <w:spacing w:line="264" w:lineRule="auto"/>
              <w:ind w:firstLineChars="0"/>
              <w:rPr>
                <w:rFonts w:eastAsia="宋体"/>
                <w:kern w:val="0"/>
                <w:sz w:val="24"/>
                <w:szCs w:val="24"/>
              </w:rPr>
            </w:pPr>
            <w:r>
              <w:rPr>
                <w:rFonts w:hint="eastAsia" w:eastAsia="宋体"/>
                <w:kern w:val="0"/>
                <w:sz w:val="24"/>
                <w:szCs w:val="24"/>
              </w:rPr>
              <w:t>历史城区保护范围见图纸</w:t>
            </w:r>
            <w:r>
              <w:rPr>
                <w:rFonts w:eastAsia="宋体"/>
                <w:kern w:val="0"/>
                <w:sz w:val="24"/>
                <w:szCs w:val="24"/>
              </w:rPr>
              <w:t>NO.2-7</w:t>
            </w:r>
            <w:r>
              <w:rPr>
                <w:rFonts w:hint="eastAsia" w:eastAsia="宋体"/>
                <w:kern w:val="0"/>
                <w:sz w:val="24"/>
                <w:szCs w:val="24"/>
              </w:rPr>
              <w:t>；</w:t>
            </w:r>
          </w:p>
          <w:p>
            <w:pPr>
              <w:pStyle w:val="62"/>
              <w:numPr>
                <w:ilvl w:val="0"/>
                <w:numId w:val="14"/>
              </w:numPr>
              <w:adjustRightInd/>
              <w:snapToGrid/>
              <w:spacing w:line="264" w:lineRule="auto"/>
              <w:ind w:firstLineChars="0"/>
              <w:rPr>
                <w:rFonts w:eastAsia="宋体"/>
                <w:kern w:val="0"/>
                <w:sz w:val="24"/>
                <w:szCs w:val="24"/>
              </w:rPr>
            </w:pPr>
            <w:r>
              <w:rPr>
                <w:rFonts w:hint="eastAsia" w:eastAsia="宋体"/>
                <w:kern w:val="0"/>
                <w:sz w:val="24"/>
                <w:szCs w:val="24"/>
              </w:rPr>
              <w:t>禁止建设或开发项目见第21，23，24，47，52条。</w:t>
            </w:r>
          </w:p>
          <w:p>
            <w:pPr>
              <w:pStyle w:val="62"/>
              <w:numPr>
                <w:ilvl w:val="0"/>
                <w:numId w:val="14"/>
              </w:numPr>
              <w:adjustRightInd/>
              <w:snapToGrid/>
              <w:spacing w:line="264" w:lineRule="auto"/>
              <w:ind w:firstLineChars="0"/>
              <w:rPr>
                <w:rFonts w:eastAsia="宋体"/>
                <w:kern w:val="0"/>
                <w:sz w:val="24"/>
                <w:szCs w:val="24"/>
              </w:rPr>
            </w:pPr>
            <w:r>
              <w:rPr>
                <w:rFonts w:hint="eastAsia" w:eastAsia="宋体"/>
                <w:kern w:val="0"/>
                <w:sz w:val="24"/>
                <w:szCs w:val="24"/>
              </w:rPr>
              <w:t>历史城区的商业业态和居住人口控制见文本第37条；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264" w:lineRule="auto"/>
              <w:ind w:firstLine="480"/>
              <w:rPr>
                <w:rFonts w:eastAsia="宋体"/>
                <w:kern w:val="0"/>
              </w:rPr>
            </w:pPr>
            <w:r>
              <w:rPr>
                <w:rFonts w:hint="eastAsia" w:eastAsia="宋体"/>
                <w:kern w:val="0"/>
              </w:rPr>
              <w:t>（三）</w:t>
            </w:r>
          </w:p>
        </w:tc>
        <w:tc>
          <w:tcPr>
            <w:tcW w:w="4536" w:type="dxa"/>
          </w:tcPr>
          <w:p>
            <w:pPr>
              <w:spacing w:line="264" w:lineRule="auto"/>
              <w:ind w:firstLine="480"/>
              <w:rPr>
                <w:rFonts w:eastAsia="宋体"/>
                <w:kern w:val="0"/>
              </w:rPr>
            </w:pPr>
            <w:bookmarkStart w:id="9" w:name="_Hlk3795856"/>
            <w:r>
              <w:rPr>
                <w:rFonts w:hint="eastAsia" w:eastAsia="宋体"/>
                <w:kern w:val="0"/>
              </w:rPr>
              <w:t>进一步加强历史城区内的风貌管控，明确历史城区内确需保护、需整改或拆除的建筑，提出具有可操作性的措施；细化风貌协调区的建筑管控要求，同时适当预留建筑高度控制调整空间。</w:t>
            </w:r>
            <w:bookmarkEnd w:id="9"/>
          </w:p>
        </w:tc>
        <w:tc>
          <w:tcPr>
            <w:tcW w:w="3252" w:type="dxa"/>
          </w:tcPr>
          <w:p>
            <w:pPr>
              <w:pStyle w:val="62"/>
              <w:numPr>
                <w:ilvl w:val="0"/>
                <w:numId w:val="15"/>
              </w:numPr>
              <w:adjustRightInd/>
              <w:snapToGrid/>
              <w:spacing w:line="264" w:lineRule="auto"/>
              <w:ind w:firstLineChars="0"/>
              <w:rPr>
                <w:rFonts w:eastAsia="宋体"/>
                <w:kern w:val="0"/>
                <w:sz w:val="24"/>
                <w:szCs w:val="24"/>
              </w:rPr>
            </w:pPr>
            <w:r>
              <w:rPr>
                <w:rFonts w:hint="eastAsia" w:eastAsia="宋体"/>
                <w:kern w:val="0"/>
                <w:sz w:val="24"/>
                <w:szCs w:val="24"/>
              </w:rPr>
              <w:t>历史城区内的风貌管控见文本第35条；</w:t>
            </w:r>
          </w:p>
          <w:p>
            <w:pPr>
              <w:pStyle w:val="62"/>
              <w:numPr>
                <w:ilvl w:val="0"/>
                <w:numId w:val="15"/>
              </w:numPr>
              <w:adjustRightInd/>
              <w:snapToGrid/>
              <w:spacing w:line="264" w:lineRule="auto"/>
              <w:ind w:firstLineChars="0"/>
              <w:rPr>
                <w:rFonts w:eastAsia="宋体"/>
                <w:kern w:val="0"/>
                <w:sz w:val="24"/>
                <w:szCs w:val="24"/>
              </w:rPr>
            </w:pPr>
            <w:r>
              <w:rPr>
                <w:rFonts w:hint="eastAsia" w:eastAsia="宋体"/>
                <w:kern w:val="0"/>
                <w:sz w:val="24"/>
                <w:szCs w:val="24"/>
              </w:rPr>
              <w:t>历史城区内确需保护、需整改或拆除的建筑见图纸</w:t>
            </w:r>
            <w:r>
              <w:rPr>
                <w:rFonts w:eastAsia="宋体"/>
                <w:kern w:val="0"/>
                <w:sz w:val="24"/>
                <w:szCs w:val="24"/>
              </w:rPr>
              <w:t>NO.4A-7</w:t>
            </w:r>
            <w:r>
              <w:rPr>
                <w:rFonts w:hint="eastAsia" w:eastAsia="宋体"/>
                <w:kern w:val="0"/>
                <w:sz w:val="24"/>
                <w:szCs w:val="24"/>
              </w:rPr>
              <w:t>；</w:t>
            </w:r>
          </w:p>
          <w:p>
            <w:pPr>
              <w:pStyle w:val="62"/>
              <w:numPr>
                <w:ilvl w:val="0"/>
                <w:numId w:val="15"/>
              </w:numPr>
              <w:adjustRightInd/>
              <w:snapToGrid/>
              <w:spacing w:line="264" w:lineRule="auto"/>
              <w:ind w:firstLineChars="0"/>
              <w:rPr>
                <w:rFonts w:eastAsia="宋体"/>
                <w:kern w:val="0"/>
                <w:sz w:val="24"/>
                <w:szCs w:val="24"/>
              </w:rPr>
            </w:pPr>
            <w:r>
              <w:rPr>
                <w:rFonts w:hint="eastAsia" w:eastAsia="宋体"/>
                <w:kern w:val="0"/>
                <w:sz w:val="24"/>
                <w:szCs w:val="24"/>
              </w:rPr>
              <w:t>历史城区主要由两条历史文化街区构成，建筑管控要求见文本42，43，44，45条。</w:t>
            </w:r>
          </w:p>
          <w:p>
            <w:pPr>
              <w:spacing w:line="264" w:lineRule="auto"/>
              <w:ind w:firstLine="480"/>
              <w:rPr>
                <w:rFonts w:eastAsia="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264" w:lineRule="auto"/>
              <w:ind w:firstLine="480"/>
              <w:rPr>
                <w:rFonts w:eastAsia="宋体"/>
                <w:kern w:val="0"/>
              </w:rPr>
            </w:pPr>
            <w:r>
              <w:rPr>
                <w:rFonts w:hint="eastAsia" w:eastAsia="宋体"/>
                <w:kern w:val="0"/>
              </w:rPr>
              <w:t>（四）</w:t>
            </w:r>
          </w:p>
        </w:tc>
        <w:tc>
          <w:tcPr>
            <w:tcW w:w="4536" w:type="dxa"/>
          </w:tcPr>
          <w:p>
            <w:pPr>
              <w:spacing w:line="264" w:lineRule="auto"/>
              <w:ind w:firstLine="480"/>
              <w:rPr>
                <w:rFonts w:eastAsia="宋体"/>
                <w:kern w:val="0"/>
              </w:rPr>
            </w:pPr>
            <w:r>
              <w:rPr>
                <w:rFonts w:hint="eastAsia" w:eastAsia="宋体"/>
                <w:kern w:val="0"/>
              </w:rPr>
              <w:t>进一步完善管网、公厕等相关配套设施的建设要求；进一步完善消防规划内容，补充消防栓、消防水资源（取水口）、防火墙等消防措施。</w:t>
            </w:r>
          </w:p>
        </w:tc>
        <w:tc>
          <w:tcPr>
            <w:tcW w:w="3252" w:type="dxa"/>
          </w:tcPr>
          <w:p>
            <w:pPr>
              <w:spacing w:line="264" w:lineRule="auto"/>
              <w:ind w:firstLine="480"/>
              <w:rPr>
                <w:rFonts w:eastAsia="宋体"/>
                <w:kern w:val="0"/>
              </w:rPr>
            </w:pPr>
            <w:r>
              <w:rPr>
                <w:rFonts w:hint="eastAsia" w:eastAsia="宋体"/>
                <w:kern w:val="0"/>
              </w:rPr>
              <w:t>1. 配套设施要求见文本第38，42，43，46条；</w:t>
            </w:r>
          </w:p>
          <w:p>
            <w:pPr>
              <w:spacing w:line="264" w:lineRule="auto"/>
              <w:ind w:firstLine="480"/>
              <w:rPr>
                <w:rFonts w:eastAsia="宋体"/>
                <w:kern w:val="0"/>
              </w:rPr>
            </w:pPr>
            <w:r>
              <w:rPr>
                <w:rFonts w:hint="eastAsia" w:eastAsia="宋体"/>
                <w:kern w:val="0"/>
              </w:rPr>
              <w:t>2. 消防规划文本第38，42，43，46条。</w:t>
            </w:r>
          </w:p>
          <w:p>
            <w:pPr>
              <w:spacing w:line="264" w:lineRule="auto"/>
              <w:ind w:firstLine="480"/>
              <w:rPr>
                <w:rFonts w:eastAsia="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264" w:lineRule="auto"/>
              <w:ind w:firstLine="480"/>
              <w:rPr>
                <w:rFonts w:eastAsia="宋体"/>
                <w:kern w:val="0"/>
              </w:rPr>
            </w:pPr>
            <w:r>
              <w:rPr>
                <w:rFonts w:hint="eastAsia" w:eastAsia="宋体"/>
                <w:kern w:val="0"/>
              </w:rPr>
              <w:t>（五）</w:t>
            </w:r>
          </w:p>
        </w:tc>
        <w:tc>
          <w:tcPr>
            <w:tcW w:w="4536" w:type="dxa"/>
          </w:tcPr>
          <w:p>
            <w:pPr>
              <w:spacing w:line="264" w:lineRule="auto"/>
              <w:ind w:firstLine="480"/>
              <w:rPr>
                <w:rFonts w:eastAsia="宋体"/>
                <w:kern w:val="0"/>
              </w:rPr>
            </w:pPr>
            <w:r>
              <w:rPr>
                <w:rFonts w:hint="eastAsia" w:eastAsia="宋体"/>
                <w:kern w:val="0"/>
              </w:rPr>
              <w:t>增加文物安全保护规划内容（防火、防雷、防损坏、防盗、防白蚁等）；补充文物（含地下文物）和历史建筑的基础勘测资料，明确保护范围和要求。</w:t>
            </w:r>
          </w:p>
        </w:tc>
        <w:tc>
          <w:tcPr>
            <w:tcW w:w="3252" w:type="dxa"/>
          </w:tcPr>
          <w:p>
            <w:pPr>
              <w:spacing w:line="264" w:lineRule="auto"/>
              <w:ind w:firstLine="480"/>
              <w:rPr>
                <w:rFonts w:eastAsia="宋体"/>
                <w:kern w:val="0"/>
              </w:rPr>
            </w:pPr>
            <w:r>
              <w:rPr>
                <w:rFonts w:hint="eastAsia" w:eastAsia="宋体"/>
                <w:kern w:val="0"/>
              </w:rPr>
              <w:t>1. 文物安全保护见文本第51条；</w:t>
            </w:r>
          </w:p>
          <w:p>
            <w:pPr>
              <w:spacing w:line="264" w:lineRule="auto"/>
              <w:ind w:firstLine="480"/>
              <w:rPr>
                <w:rFonts w:eastAsia="宋体"/>
                <w:kern w:val="0"/>
              </w:rPr>
            </w:pPr>
            <w:r>
              <w:rPr>
                <w:rFonts w:hint="eastAsia" w:eastAsia="宋体"/>
                <w:kern w:val="0"/>
              </w:rPr>
              <w:t>2．文物（含地下文物）保护范围详见基础资料汇编。</w:t>
            </w:r>
          </w:p>
          <w:p>
            <w:pPr>
              <w:spacing w:line="264" w:lineRule="auto"/>
              <w:ind w:firstLine="480"/>
              <w:rPr>
                <w:rFonts w:eastAsia="宋体"/>
                <w:kern w:val="0"/>
              </w:rPr>
            </w:pPr>
            <w:r>
              <w:rPr>
                <w:rFonts w:hint="eastAsia" w:eastAsia="宋体"/>
                <w:kern w:val="0"/>
              </w:rPr>
              <w:t>3．历史建筑保护范围详见图则。</w:t>
            </w:r>
          </w:p>
          <w:p>
            <w:pPr>
              <w:spacing w:line="264" w:lineRule="auto"/>
              <w:ind w:firstLine="480"/>
              <w:rPr>
                <w:rFonts w:eastAsia="宋体"/>
                <w:kern w:val="0"/>
              </w:rPr>
            </w:pPr>
          </w:p>
        </w:tc>
      </w:tr>
    </w:tbl>
    <w:p>
      <w:pPr>
        <w:pStyle w:val="78"/>
        <w:numPr>
          <w:ilvl w:val="0"/>
          <w:numId w:val="0"/>
        </w:numPr>
        <w:jc w:val="both"/>
        <w:rPr>
          <w:rFonts w:hint="eastAsia"/>
        </w:rPr>
        <w:sectPr>
          <w:pgSz w:w="23814" w:h="16839"/>
          <w:pgMar w:top="1440" w:right="1800" w:bottom="1440" w:left="1800" w:header="851" w:footer="992" w:gutter="0"/>
          <w:cols w:space="425" w:num="2"/>
          <w:docGrid w:type="lines" w:linePitch="326" w:charSpace="0"/>
        </w:sectPr>
      </w:pPr>
    </w:p>
    <w:p>
      <w:pPr>
        <w:pStyle w:val="78"/>
        <w:numPr>
          <w:ilvl w:val="0"/>
          <w:numId w:val="0"/>
        </w:numPr>
        <w:jc w:val="both"/>
      </w:pPr>
      <w:bookmarkStart w:id="10" w:name="_Toc3889174"/>
      <w:r>
        <w:rPr>
          <w:rFonts w:hint="eastAsia"/>
        </w:rPr>
        <w:t>旺苍县城乡规划委员会关于《旺苍县历史文化名城保护规划</w:t>
      </w:r>
      <w:bookmarkEnd w:id="10"/>
    </w:p>
    <w:p>
      <w:pPr>
        <w:pStyle w:val="78"/>
        <w:numPr>
          <w:ilvl w:val="0"/>
          <w:numId w:val="0"/>
        </w:numPr>
        <w:jc w:val="both"/>
      </w:pPr>
      <w:bookmarkStart w:id="11" w:name="_Toc3889175"/>
      <w:r>
        <w:rPr>
          <w:rFonts w:hint="eastAsia"/>
        </w:rPr>
        <w:drawing>
          <wp:anchor distT="0" distB="0" distL="114300" distR="114300" simplePos="0" relativeHeight="251661312" behindDoc="0" locked="0" layoutInCell="1" allowOverlap="1">
            <wp:simplePos x="0" y="0"/>
            <wp:positionH relativeFrom="margin">
              <wp:posOffset>514350</wp:posOffset>
            </wp:positionH>
            <wp:positionV relativeFrom="paragraph">
              <wp:posOffset>1002030</wp:posOffset>
            </wp:positionV>
            <wp:extent cx="5133340" cy="732091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33340" cy="7320915"/>
                    </a:xfrm>
                    <a:prstGeom prst="rect">
                      <a:avLst/>
                    </a:prstGeom>
                    <a:noFill/>
                    <a:ln>
                      <a:noFill/>
                    </a:ln>
                  </pic:spPr>
                </pic:pic>
              </a:graphicData>
            </a:graphic>
          </wp:anchor>
        </w:drawing>
      </w:r>
      <w:r>
        <w:rPr>
          <w:rFonts w:hint="eastAsia"/>
        </w:rPr>
        <w:drawing>
          <wp:anchor distT="0" distB="0" distL="114300" distR="114300" simplePos="0" relativeHeight="251662336" behindDoc="0" locked="0" layoutInCell="1" allowOverlap="1">
            <wp:simplePos x="0" y="0"/>
            <wp:positionH relativeFrom="column">
              <wp:posOffset>6268085</wp:posOffset>
            </wp:positionH>
            <wp:positionV relativeFrom="paragraph">
              <wp:posOffset>792480</wp:posOffset>
            </wp:positionV>
            <wp:extent cx="5036820" cy="754951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36820" cy="7549515"/>
                    </a:xfrm>
                    <a:prstGeom prst="rect">
                      <a:avLst/>
                    </a:prstGeom>
                    <a:noFill/>
                    <a:ln>
                      <a:noFill/>
                    </a:ln>
                  </pic:spPr>
                </pic:pic>
              </a:graphicData>
            </a:graphic>
          </wp:anchor>
        </w:drawing>
      </w:r>
      <w:r>
        <w:rPr>
          <w:rFonts w:hint="eastAsia"/>
        </w:rPr>
        <w:t>（</w:t>
      </w:r>
      <w:r>
        <w:t>2017-2035</w:t>
      </w:r>
      <w:r>
        <w:rPr>
          <w:rFonts w:hint="eastAsia"/>
        </w:rPr>
        <w:t>）》的会议纪要</w:t>
      </w:r>
      <w:bookmarkEnd w:id="11"/>
    </w:p>
    <w:p>
      <w:pPr>
        <w:pStyle w:val="78"/>
        <w:numPr>
          <w:ilvl w:val="0"/>
          <w:numId w:val="0"/>
        </w:numPr>
        <w:jc w:val="both"/>
        <w:sectPr>
          <w:pgSz w:w="23814" w:h="16839"/>
          <w:pgMar w:top="1440" w:right="1800" w:bottom="1440" w:left="1800" w:header="851" w:footer="992" w:gutter="0"/>
          <w:cols w:space="425" w:num="2"/>
          <w:docGrid w:type="lines" w:linePitch="326" w:charSpace="0"/>
        </w:sectPr>
      </w:pPr>
    </w:p>
    <w:p>
      <w:pPr>
        <w:pStyle w:val="78"/>
        <w:ind w:left="0"/>
      </w:pPr>
      <w:bookmarkStart w:id="12" w:name="_Toc3889176"/>
      <w:r>
        <w:rPr>
          <w:rFonts w:hint="eastAsia"/>
        </w:rPr>
        <w:t>总则</w:t>
      </w:r>
      <w:bookmarkEnd w:id="12"/>
    </w:p>
    <w:p>
      <w:pPr>
        <w:pStyle w:val="76"/>
        <w:ind w:left="704"/>
        <w:rPr>
          <w:color w:val="auto"/>
        </w:rPr>
      </w:pPr>
      <w:bookmarkStart w:id="13" w:name="_Toc3889177"/>
      <w:r>
        <w:rPr>
          <w:rFonts w:hint="eastAsia"/>
          <w:color w:val="auto"/>
        </w:rPr>
        <w:t>规划背景</w:t>
      </w:r>
      <w:bookmarkEnd w:id="13"/>
    </w:p>
    <w:p>
      <w:pPr>
        <w:ind w:firstLine="480"/>
        <w:rPr>
          <w:rFonts w:ascii="方正仿宋简体"/>
          <w:bCs/>
          <w:szCs w:val="21"/>
        </w:rPr>
      </w:pPr>
      <w:r>
        <w:rPr>
          <w:rFonts w:hint="eastAsia" w:ascii="方正仿宋简体"/>
          <w:bCs/>
          <w:szCs w:val="21"/>
        </w:rPr>
        <w:t>旺苍于</w:t>
      </w:r>
      <w:r>
        <w:t>1992</w:t>
      </w:r>
      <w:r>
        <w:rPr>
          <w:rFonts w:hint="eastAsia"/>
        </w:rPr>
        <w:t>年由四川省人民政府公布为四川省历史文化名城。根据《历史文化名城名镇名村街区保护规划编制审批办法》（中华人民共和国住房和城乡建设部令第20号），历史文化名城批准公布后，历史文化名城人民政府应当组织编制历史文化名城保护规划。同时，</w:t>
      </w:r>
      <w:r>
        <w:rPr>
          <w:rFonts w:hint="eastAsia" w:ascii="方正仿宋简体"/>
          <w:bCs/>
          <w:szCs w:val="21"/>
        </w:rPr>
        <w:t>为落实中央、四川省关于保护和传承优秀历史文化的先进理念，保护、继承、发扬旺苍优秀历史文化传统，使旺苍的城市发展与建设，既能满足未来生活与生产需要又能保持其独有的风貌特色，又符合省级历史文化名城地位，特编制本规划。</w:t>
      </w:r>
    </w:p>
    <w:p>
      <w:pPr>
        <w:pStyle w:val="76"/>
        <w:ind w:left="704"/>
        <w:rPr>
          <w:color w:val="auto"/>
        </w:rPr>
      </w:pPr>
      <w:bookmarkStart w:id="14" w:name="_Toc3889178"/>
      <w:r>
        <w:rPr>
          <w:rFonts w:hint="eastAsia"/>
          <w:color w:val="auto"/>
        </w:rPr>
        <w:t>规划依据</w:t>
      </w:r>
      <w:bookmarkEnd w:id="14"/>
    </w:p>
    <w:p>
      <w:pPr>
        <w:ind w:firstLine="480"/>
      </w:pPr>
      <w:r>
        <w:rPr>
          <w:rFonts w:hint="eastAsia"/>
        </w:rPr>
        <w:t>《中华人民共和国城乡规划法》（2008年）；</w:t>
      </w:r>
    </w:p>
    <w:p>
      <w:pPr>
        <w:ind w:firstLine="480"/>
        <w:rPr>
          <w:rFonts w:hAnsi="宋体" w:cs="宋体"/>
        </w:rPr>
      </w:pPr>
      <w:r>
        <w:rPr>
          <w:rFonts w:hint="eastAsia" w:hAnsi="宋体" w:cs="宋体"/>
        </w:rPr>
        <w:t>《中华人民共和国文物保护法》（2015年）；</w:t>
      </w:r>
    </w:p>
    <w:p>
      <w:pPr>
        <w:ind w:firstLine="480"/>
        <w:rPr>
          <w:rFonts w:hAnsi="宋体"/>
          <w:bCs/>
        </w:rPr>
      </w:pPr>
      <w:r>
        <w:rPr>
          <w:rFonts w:hint="eastAsia" w:hAnsi="宋体"/>
          <w:bCs/>
        </w:rPr>
        <w:t>《中华人民共和国文物保护法实施条例》（2003年）；</w:t>
      </w:r>
    </w:p>
    <w:p>
      <w:pPr>
        <w:ind w:firstLine="480"/>
        <w:rPr>
          <w:rFonts w:hAnsi="宋体"/>
        </w:rPr>
      </w:pPr>
      <w:r>
        <w:rPr>
          <w:rFonts w:hint="eastAsia" w:hAnsi="宋体"/>
        </w:rPr>
        <w:t>《中华人民共和国非物质文化遗产法》（中华人民共和国主席令第四十二号</w:t>
      </w:r>
      <w:r>
        <w:rPr>
          <w:rFonts w:hAnsi="宋体"/>
        </w:rPr>
        <w:t>）</w:t>
      </w:r>
      <w:r>
        <w:rPr>
          <w:rFonts w:hint="eastAsia" w:hAnsi="宋体"/>
        </w:rPr>
        <w:t>；</w:t>
      </w:r>
    </w:p>
    <w:p>
      <w:pPr>
        <w:ind w:firstLine="480"/>
        <w:rPr>
          <w:rFonts w:ascii="宋体" w:hAnsi="宋体"/>
        </w:rPr>
      </w:pPr>
      <w:r>
        <w:rPr>
          <w:rFonts w:hint="eastAsia" w:ascii="宋体" w:hAnsi="宋体"/>
        </w:rPr>
        <w:t>《城市紫线管理办法》（2004年）；</w:t>
      </w:r>
    </w:p>
    <w:p>
      <w:pPr>
        <w:ind w:firstLine="480"/>
        <w:rPr>
          <w:rFonts w:ascii="宋体" w:hAnsi="宋体"/>
        </w:rPr>
      </w:pPr>
      <w:r>
        <w:rPr>
          <w:rFonts w:hint="eastAsia" w:ascii="宋体" w:hAnsi="宋体"/>
        </w:rPr>
        <w:t>《城市古树名木保护管理办法》（2000年）；</w:t>
      </w:r>
    </w:p>
    <w:p>
      <w:pPr>
        <w:ind w:firstLine="480"/>
        <w:rPr>
          <w:rFonts w:hAnsi="宋体" w:cs="宋体"/>
        </w:rPr>
      </w:pPr>
      <w:r>
        <w:rPr>
          <w:rFonts w:hAnsi="宋体" w:cs="宋体"/>
        </w:rPr>
        <w:t>《全国重点文物保护单位保护规划编制审批管理办法》</w:t>
      </w:r>
      <w:r>
        <w:rPr>
          <w:rFonts w:hint="eastAsia" w:hAnsi="宋体" w:cs="宋体"/>
        </w:rPr>
        <w:t>（2004年）；</w:t>
      </w:r>
    </w:p>
    <w:p>
      <w:pPr>
        <w:ind w:firstLine="480"/>
        <w:rPr>
          <w:rFonts w:hAnsi="宋体" w:cs="宋体"/>
          <w:bCs/>
        </w:rPr>
      </w:pPr>
      <w:r>
        <w:rPr>
          <w:rFonts w:hint="eastAsia" w:hAnsi="宋体" w:cs="宋体"/>
          <w:bCs/>
        </w:rPr>
        <w:t>《全国重点文物保护单位保护规划编制要求》（2007年）；</w:t>
      </w:r>
    </w:p>
    <w:p>
      <w:pPr>
        <w:ind w:firstLine="480"/>
        <w:rPr>
          <w:rFonts w:hAnsi="宋体" w:cs="仿宋_GB2312"/>
        </w:rPr>
      </w:pPr>
      <w:r>
        <w:rPr>
          <w:rFonts w:hint="eastAsia" w:hAnsi="宋体"/>
        </w:rPr>
        <w:t>《</w:t>
      </w:r>
      <w:r>
        <w:rPr>
          <w:rFonts w:hAnsi="宋体"/>
        </w:rPr>
        <w:t>历史文化名城保护规划规范</w:t>
      </w:r>
      <w:r>
        <w:rPr>
          <w:rFonts w:hint="eastAsia" w:hAnsi="宋体"/>
        </w:rPr>
        <w:t>》</w:t>
      </w:r>
      <w:r>
        <w:rPr>
          <w:rFonts w:hAnsi="宋体"/>
        </w:rPr>
        <w:t>（GB50357－2005）</w:t>
      </w:r>
      <w:r>
        <w:rPr>
          <w:rFonts w:hint="eastAsia" w:hAnsi="宋体"/>
        </w:rPr>
        <w:t>；《</w:t>
      </w:r>
      <w:r>
        <w:rPr>
          <w:rFonts w:hint="eastAsia" w:hAnsi="宋体" w:cs="仿宋_GB2312"/>
        </w:rPr>
        <w:t>历史文化名城名镇名村保护条例》（中华人民共和国国务院令第524号）；</w:t>
      </w:r>
    </w:p>
    <w:p>
      <w:pPr>
        <w:ind w:firstLine="480"/>
        <w:rPr>
          <w:rFonts w:hAnsi="宋体" w:cs="仿宋_GB2312"/>
        </w:rPr>
      </w:pPr>
      <w:r>
        <w:rPr>
          <w:rFonts w:hint="eastAsia" w:hAnsi="宋体" w:cs="仿宋_GB2312"/>
        </w:rPr>
        <w:t>《历史文化名城名镇名村街区保护规划编制审批办法》（中华人民共和国住房和城乡建设部令第20号</w:t>
      </w:r>
      <w:r>
        <w:rPr>
          <w:rFonts w:hAnsi="宋体" w:cs="仿宋_GB2312"/>
        </w:rPr>
        <w:t>）</w:t>
      </w:r>
      <w:r>
        <w:rPr>
          <w:rFonts w:hint="eastAsia" w:hAnsi="宋体" w:cs="仿宋_GB2312"/>
        </w:rPr>
        <w:t>；</w:t>
      </w:r>
    </w:p>
    <w:p>
      <w:pPr>
        <w:ind w:firstLine="480"/>
        <w:rPr>
          <w:rFonts w:hAnsi="宋体" w:cs="仿宋_GB2312"/>
        </w:rPr>
      </w:pPr>
      <w:r>
        <w:rPr>
          <w:rFonts w:hint="eastAsia" w:hAnsi="宋体" w:cs="仿宋_GB2312"/>
        </w:rPr>
        <w:t>《历史文化名城名镇名村保护规划编制要求（试行）》（建规2012年 195 号）；</w:t>
      </w:r>
    </w:p>
    <w:p>
      <w:pPr>
        <w:ind w:firstLine="480"/>
        <w:rPr>
          <w:rFonts w:hAnsi="宋体" w:cs="宋体"/>
        </w:rPr>
      </w:pPr>
      <w:r>
        <w:rPr>
          <w:rFonts w:hint="eastAsia" w:hAnsi="宋体" w:cs="宋体"/>
        </w:rPr>
        <w:t>《文化线路宪章/关于文化线路的国际古迹遗址理事会宪章（ICOMOS Charter on  Cultural Routes）》；</w:t>
      </w:r>
    </w:p>
    <w:p>
      <w:pPr>
        <w:ind w:firstLine="480"/>
        <w:rPr>
          <w:rFonts w:hAnsi="宋体"/>
        </w:rPr>
      </w:pPr>
      <w:r>
        <w:rPr>
          <w:rFonts w:hAnsi="宋体"/>
        </w:rPr>
        <w:t>《四川省全国重点文物保护单位和省级文物保护单位保护范围》</w:t>
      </w:r>
      <w:r>
        <w:rPr>
          <w:rFonts w:hint="eastAsia" w:hAnsi="宋体"/>
        </w:rPr>
        <w:t>；</w:t>
      </w:r>
    </w:p>
    <w:p>
      <w:pPr>
        <w:ind w:firstLine="480"/>
        <w:rPr>
          <w:rFonts w:hAnsi="宋体"/>
        </w:rPr>
      </w:pPr>
      <w:r>
        <w:rPr>
          <w:rFonts w:hint="eastAsia" w:hAnsi="宋体"/>
        </w:rPr>
        <w:t>《四川省城乡规划条例》（2011年）；</w:t>
      </w:r>
    </w:p>
    <w:p>
      <w:pPr>
        <w:ind w:firstLine="480"/>
        <w:rPr>
          <w:rFonts w:hAnsi="宋体"/>
        </w:rPr>
      </w:pPr>
      <w:r>
        <w:rPr>
          <w:rFonts w:hint="eastAsia" w:hAnsi="宋体"/>
        </w:rPr>
        <w:t>《广元市</w:t>
      </w:r>
      <w:r>
        <w:rPr>
          <w:rFonts w:hAnsi="宋体"/>
        </w:rPr>
        <w:t>城市总体规划</w:t>
      </w:r>
      <w:r>
        <w:rPr>
          <w:rFonts w:hint="eastAsia" w:hAnsi="宋体"/>
        </w:rPr>
        <w:t>（2010—2020）》；</w:t>
      </w:r>
    </w:p>
    <w:p>
      <w:pPr>
        <w:ind w:firstLine="480"/>
        <w:rPr>
          <w:rFonts w:hAnsi="宋体"/>
        </w:rPr>
      </w:pPr>
      <w:r>
        <w:rPr>
          <w:rFonts w:hint="eastAsia" w:hAnsi="宋体"/>
        </w:rPr>
        <w:t>《广元市</w:t>
      </w:r>
      <w:r>
        <w:rPr>
          <w:rFonts w:hAnsi="宋体"/>
        </w:rPr>
        <w:t>历史文化名城保护规划</w:t>
      </w:r>
      <w:r>
        <w:rPr>
          <w:rFonts w:hint="eastAsia" w:hAnsi="宋体"/>
        </w:rPr>
        <w:t>》；</w:t>
      </w:r>
    </w:p>
    <w:p>
      <w:pPr>
        <w:ind w:firstLine="480"/>
        <w:rPr>
          <w:rFonts w:hAnsi="宋体"/>
        </w:rPr>
      </w:pPr>
      <w:r>
        <w:rPr>
          <w:rFonts w:hint="eastAsia" w:hAnsi="宋体"/>
        </w:rPr>
        <w:t>《广元市第一批市级历史文化名镇、市级文化街区、市级传统村落和市级历史、乡土建筑》的函；</w:t>
      </w:r>
    </w:p>
    <w:p>
      <w:pPr>
        <w:ind w:firstLine="480"/>
        <w:rPr>
          <w:rFonts w:hAnsi="宋体"/>
        </w:rPr>
      </w:pPr>
      <w:r>
        <w:rPr>
          <w:rFonts w:hint="eastAsia" w:hAnsi="宋体"/>
        </w:rPr>
        <w:t>《旺苍县县域镇村体系规划和旺苍县城市总体规划（201</w:t>
      </w:r>
      <w:r>
        <w:rPr>
          <w:rFonts w:hAnsi="宋体"/>
        </w:rPr>
        <w:t>7</w:t>
      </w:r>
      <w:r>
        <w:rPr>
          <w:rFonts w:hint="eastAsia" w:hAnsi="宋体"/>
        </w:rPr>
        <w:t>-203</w:t>
      </w:r>
      <w:r>
        <w:rPr>
          <w:rFonts w:hAnsi="宋体"/>
        </w:rPr>
        <w:t>5</w:t>
      </w:r>
      <w:r>
        <w:rPr>
          <w:rFonts w:hint="eastAsia" w:hAnsi="宋体"/>
        </w:rPr>
        <w:t>）</w:t>
      </w:r>
      <w:r>
        <w:rPr>
          <w:rFonts w:hAnsi="宋体"/>
        </w:rPr>
        <w:t>》</w:t>
      </w:r>
      <w:r>
        <w:rPr>
          <w:rFonts w:hint="eastAsia" w:ascii="宋体" w:hAnsi="宋体"/>
        </w:rPr>
        <w:t>（在编）。</w:t>
      </w:r>
    </w:p>
    <w:p>
      <w:pPr>
        <w:ind w:firstLine="480"/>
        <w:rPr>
          <w:rFonts w:ascii="宋体" w:hAnsi="宋体"/>
        </w:rPr>
      </w:pPr>
      <w:r>
        <w:rPr>
          <w:rFonts w:hint="eastAsia" w:ascii="宋体" w:hAnsi="宋体"/>
        </w:rPr>
        <w:t>其他</w:t>
      </w:r>
      <w:r>
        <w:rPr>
          <w:rFonts w:ascii="宋体" w:hAnsi="宋体"/>
        </w:rPr>
        <w:t>相关法律法规、规范</w:t>
      </w:r>
      <w:r>
        <w:rPr>
          <w:rFonts w:hint="eastAsia" w:ascii="宋体" w:hAnsi="宋体"/>
        </w:rPr>
        <w:t>等</w:t>
      </w:r>
      <w:r>
        <w:rPr>
          <w:rFonts w:ascii="宋体" w:hAnsi="宋体"/>
        </w:rPr>
        <w:t>。</w:t>
      </w:r>
    </w:p>
    <w:p>
      <w:pPr>
        <w:pStyle w:val="76"/>
        <w:ind w:left="704"/>
        <w:rPr>
          <w:color w:val="auto"/>
        </w:rPr>
      </w:pPr>
      <w:bookmarkStart w:id="15" w:name="_Toc3889179"/>
      <w:r>
        <w:rPr>
          <w:rFonts w:hint="eastAsia"/>
          <w:color w:val="auto"/>
        </w:rPr>
        <w:t>规划期限</w:t>
      </w:r>
      <w:bookmarkEnd w:id="15"/>
    </w:p>
    <w:p>
      <w:pPr>
        <w:ind w:firstLine="480"/>
      </w:pPr>
      <w:r>
        <w:rPr>
          <w:rFonts w:hint="eastAsia"/>
        </w:rPr>
        <w:t>本规划期限与《旺苍县县域镇村体系规划和旺苍县城市总体规划（2017-2035年）》保持一致，为2017-2035年。近期至2020年，远期至2035年。</w:t>
      </w:r>
    </w:p>
    <w:p>
      <w:pPr>
        <w:pStyle w:val="76"/>
        <w:ind w:left="704"/>
        <w:rPr>
          <w:color w:val="auto"/>
        </w:rPr>
      </w:pPr>
      <w:bookmarkStart w:id="16" w:name="_Toc3889180"/>
      <w:r>
        <w:rPr>
          <w:rFonts w:hint="eastAsia"/>
          <w:color w:val="auto"/>
        </w:rPr>
        <w:t>规划范围</w:t>
      </w:r>
      <w:bookmarkEnd w:id="16"/>
    </w:p>
    <w:p>
      <w:pPr>
        <w:spacing w:line="360" w:lineRule="auto"/>
        <w:ind w:firstLine="480"/>
        <w:rPr>
          <w:rFonts w:ascii="宋体" w:hAnsi="宋体"/>
        </w:rPr>
      </w:pPr>
      <w:r>
        <w:rPr>
          <w:rFonts w:hint="eastAsia" w:ascii="宋体" w:hAnsi="宋体"/>
        </w:rPr>
        <w:t>本规划规划范围分为三个层次，分别是县域、中心城区和历史城区。</w:t>
      </w:r>
    </w:p>
    <w:p>
      <w:pPr>
        <w:spacing w:line="360" w:lineRule="auto"/>
        <w:ind w:firstLine="480"/>
        <w:rPr>
          <w:rFonts w:ascii="宋体" w:hAnsi="宋体"/>
        </w:rPr>
      </w:pPr>
      <w:r>
        <w:rPr>
          <w:rFonts w:hint="eastAsia" w:ascii="宋体" w:hAnsi="宋体"/>
        </w:rPr>
        <w:t>1、县域层次为旺苍县域范围，总面积2986平方公里。</w:t>
      </w:r>
    </w:p>
    <w:p>
      <w:pPr>
        <w:spacing w:line="360" w:lineRule="auto"/>
        <w:ind w:firstLine="480"/>
        <w:rPr>
          <w:rFonts w:ascii="宋体" w:hAnsi="宋体"/>
        </w:rPr>
      </w:pPr>
      <w:r>
        <w:rPr>
          <w:rFonts w:ascii="宋体" w:hAnsi="宋体"/>
        </w:rPr>
        <w:t>2</w:t>
      </w:r>
      <w:r>
        <w:rPr>
          <w:rFonts w:hint="eastAsia" w:ascii="宋体" w:hAnsi="宋体"/>
        </w:rPr>
        <w:t>、中心城区为旺苍县中心城区范围，面积约</w:t>
      </w:r>
      <w:r>
        <w:rPr>
          <w:rFonts w:ascii="宋体" w:hAnsi="宋体"/>
        </w:rPr>
        <w:t>54</w:t>
      </w:r>
      <w:r>
        <w:rPr>
          <w:rFonts w:hint="eastAsia" w:ascii="宋体" w:hAnsi="宋体"/>
        </w:rPr>
        <w:t>平方公里。</w:t>
      </w:r>
    </w:p>
    <w:p>
      <w:pPr>
        <w:spacing w:line="360" w:lineRule="auto"/>
        <w:ind w:firstLine="480"/>
        <w:rPr>
          <w:rFonts w:ascii="宋体" w:hAnsi="宋体"/>
        </w:rPr>
      </w:pPr>
      <w:r>
        <w:rPr>
          <w:rFonts w:ascii="宋体" w:hAnsi="宋体"/>
        </w:rPr>
        <w:t>3</w:t>
      </w:r>
      <w:r>
        <w:rPr>
          <w:rFonts w:hint="eastAsia" w:ascii="宋体" w:hAnsi="宋体"/>
        </w:rPr>
        <w:t>、历史城区为旺苍县红军城老城区，总面积26.77公顷。</w:t>
      </w:r>
    </w:p>
    <w:p>
      <w:pPr>
        <w:pStyle w:val="76"/>
        <w:ind w:left="704"/>
        <w:rPr>
          <w:color w:val="auto"/>
        </w:rPr>
      </w:pPr>
      <w:bookmarkStart w:id="17" w:name="_Toc3889181"/>
      <w:r>
        <w:rPr>
          <w:rFonts w:hint="eastAsia"/>
          <w:color w:val="auto"/>
        </w:rPr>
        <w:t>规划适用范围</w:t>
      </w:r>
      <w:bookmarkEnd w:id="17"/>
    </w:p>
    <w:p>
      <w:pPr>
        <w:ind w:firstLine="480"/>
        <w:rPr>
          <w:bCs/>
        </w:rPr>
      </w:pPr>
      <w:r>
        <w:rPr>
          <w:rFonts w:hint="eastAsia"/>
          <w:bCs/>
        </w:rPr>
        <w:t>本规划是城市总体规划的专项规划，是对旺苍县城市总体规划名城保护相关内容的补充、完善和深化，是旺苍历史文化名城保护和管理的依据；在本规划范围内的土地利用和各项建设活动，必须符合本规划的规定和要求。</w:t>
      </w:r>
    </w:p>
    <w:p>
      <w:pPr>
        <w:pStyle w:val="76"/>
        <w:ind w:left="704"/>
        <w:rPr>
          <w:color w:val="auto"/>
        </w:rPr>
      </w:pPr>
      <w:bookmarkStart w:id="18" w:name="_Toc3889182"/>
      <w:r>
        <w:rPr>
          <w:rFonts w:hint="eastAsia"/>
          <w:color w:val="auto"/>
        </w:rPr>
        <w:t>规划法律效力</w:t>
      </w:r>
      <w:bookmarkEnd w:id="18"/>
    </w:p>
    <w:p>
      <w:pPr>
        <w:ind w:firstLine="480"/>
      </w:pPr>
      <w:r>
        <w:rPr>
          <w:rFonts w:ascii="方正仿宋简体"/>
          <w:bCs/>
          <w:szCs w:val="21"/>
        </w:rPr>
        <w:t>本规划成果</w:t>
      </w:r>
      <w:r>
        <w:rPr>
          <w:rFonts w:hint="eastAsia" w:ascii="方正仿宋简体"/>
          <w:bCs/>
          <w:szCs w:val="21"/>
        </w:rPr>
        <w:t>包括规划</w:t>
      </w:r>
      <w:r>
        <w:rPr>
          <w:rFonts w:ascii="方正仿宋简体"/>
          <w:bCs/>
          <w:szCs w:val="21"/>
        </w:rPr>
        <w:t>文本、</w:t>
      </w:r>
      <w:r>
        <w:rPr>
          <w:rFonts w:hint="eastAsia" w:ascii="方正仿宋简体"/>
          <w:bCs/>
          <w:szCs w:val="21"/>
        </w:rPr>
        <w:t>规划</w:t>
      </w:r>
      <w:r>
        <w:rPr>
          <w:rFonts w:ascii="方正仿宋简体"/>
          <w:bCs/>
          <w:szCs w:val="21"/>
        </w:rPr>
        <w:t>图纸和</w:t>
      </w:r>
      <w:r>
        <w:rPr>
          <w:rFonts w:hint="eastAsia" w:ascii="方正仿宋简体"/>
          <w:bCs/>
          <w:szCs w:val="21"/>
        </w:rPr>
        <w:t>附件（包括规划说明书和基础资料汇编等）。其中规划文本是对保护规划目标和内容提出规定性要求的法定文件。</w:t>
      </w:r>
      <w:r>
        <w:rPr>
          <w:rFonts w:hint="eastAsia" w:ascii="方正仿宋简体"/>
          <w:b/>
          <w:bCs/>
          <w:szCs w:val="21"/>
          <w:u w:val="single"/>
        </w:rPr>
        <w:t>规划文本中，字体加粗并带下划线的内容为规划的强制性内容；规划图纸具有同等法律效力。</w:t>
      </w:r>
    </w:p>
    <w:p>
      <w:pPr>
        <w:pStyle w:val="78"/>
      </w:pPr>
      <w:bookmarkStart w:id="19" w:name="_Toc497180733"/>
      <w:bookmarkStart w:id="20" w:name="_Toc3889183"/>
      <w:r>
        <w:rPr>
          <w:rFonts w:hint="eastAsia"/>
        </w:rPr>
        <w:t>历史价值与名城特色</w:t>
      </w:r>
      <w:bookmarkEnd w:id="19"/>
      <w:bookmarkEnd w:id="20"/>
    </w:p>
    <w:p>
      <w:pPr>
        <w:pStyle w:val="76"/>
        <w:ind w:left="704"/>
        <w:rPr>
          <w:color w:val="auto"/>
        </w:rPr>
      </w:pPr>
      <w:bookmarkStart w:id="21" w:name="_Toc3889184"/>
      <w:r>
        <w:rPr>
          <w:rFonts w:hint="eastAsia"/>
          <w:color w:val="auto"/>
        </w:rPr>
        <w:t>名城价值</w:t>
      </w:r>
      <w:bookmarkEnd w:id="21"/>
    </w:p>
    <w:p>
      <w:pPr>
        <w:pStyle w:val="62"/>
        <w:numPr>
          <w:ilvl w:val="0"/>
          <w:numId w:val="16"/>
        </w:numPr>
        <w:ind w:firstLineChars="0"/>
        <w:rPr>
          <w:rFonts w:hAnsi="宋体"/>
          <w:sz w:val="24"/>
          <w:szCs w:val="24"/>
        </w:rPr>
      </w:pPr>
      <w:r>
        <w:rPr>
          <w:rFonts w:hint="eastAsia" w:hAnsi="宋体"/>
          <w:sz w:val="24"/>
          <w:szCs w:val="24"/>
        </w:rPr>
        <w:t>蜀苴老城，川陕咽喉</w:t>
      </w:r>
    </w:p>
    <w:p>
      <w:pPr>
        <w:ind w:firstLine="480"/>
        <w:rPr>
          <w:szCs w:val="22"/>
        </w:rPr>
      </w:pPr>
      <w:r>
        <w:rPr>
          <w:rFonts w:hint="eastAsia" w:hAnsi="宋体"/>
        </w:rPr>
        <w:t>旺苍最初记载于</w:t>
      </w:r>
      <w:r>
        <w:fldChar w:fldCharType="begin"/>
      </w:r>
      <w:r>
        <w:instrText xml:space="preserve"> HYPERLINK "https://baike.so.com/doc/5374948-7569847.html" \t "_blank" </w:instrText>
      </w:r>
      <w:r>
        <w:fldChar w:fldCharType="separate"/>
      </w:r>
      <w:r>
        <w:t>新石器时代</w:t>
      </w:r>
      <w:r>
        <w:fldChar w:fldCharType="end"/>
      </w:r>
      <w:r>
        <w:rPr>
          <w:rFonts w:hint="eastAsia"/>
        </w:rPr>
        <w:t>。西周时，今旺苍境域东属巴、西属蜀；春秋时为蜀国苴侯领地。旺苍县历经新时期时代到各朝代的变迁，见证抗日战争，自建国发展至今，承载了中国传统历史文化、蜀</w:t>
      </w:r>
      <w:r>
        <w:rPr>
          <w:rFonts w:hint="eastAsia" w:hAnsi="宋体"/>
        </w:rPr>
        <w:t>苴</w:t>
      </w:r>
      <w:r>
        <w:rPr>
          <w:rFonts w:hint="eastAsia"/>
        </w:rPr>
        <w:t>文化、红军精神、当代文化，具有重要的历史价值。地理区位层面，旺苍地处川陕交界的米仓山南麓，是四川与陕西联系的重要门户。</w:t>
      </w:r>
    </w:p>
    <w:p>
      <w:pPr>
        <w:pStyle w:val="62"/>
        <w:numPr>
          <w:ilvl w:val="0"/>
          <w:numId w:val="16"/>
        </w:numPr>
        <w:ind w:firstLineChars="0"/>
        <w:rPr>
          <w:rFonts w:hAnsi="宋体"/>
          <w:sz w:val="24"/>
          <w:szCs w:val="24"/>
        </w:rPr>
      </w:pPr>
      <w:r>
        <w:rPr>
          <w:rFonts w:hAnsi="宋体"/>
          <w:sz w:val="24"/>
          <w:szCs w:val="24"/>
        </w:rPr>
        <w:t>蜀道要冲</w:t>
      </w:r>
      <w:r>
        <w:rPr>
          <w:rFonts w:hint="eastAsia" w:hAnsi="宋体"/>
          <w:sz w:val="24"/>
          <w:szCs w:val="24"/>
        </w:rPr>
        <w:t>，世界遗产</w:t>
      </w:r>
    </w:p>
    <w:p>
      <w:pPr>
        <w:spacing w:line="360" w:lineRule="auto"/>
        <w:ind w:firstLine="480"/>
        <w:rPr>
          <w:rFonts w:ascii="宋体" w:hAnsi="宋体"/>
        </w:rPr>
      </w:pPr>
      <w:r>
        <w:rPr>
          <w:rFonts w:hint="eastAsia" w:ascii="宋体" w:hAnsi="宋体"/>
        </w:rPr>
        <w:t>旺苍米仓道为蜀道分支。2014年，蜀道列入世界遗产预备名录，纳入申报世界自然与文化遗产双提名范畴。旺苍县境内的米仓古道至今尚存，有的路段较完整，仍有民间客商及游人、山民、背夫行走。</w:t>
      </w:r>
    </w:p>
    <w:p>
      <w:pPr>
        <w:pStyle w:val="62"/>
        <w:numPr>
          <w:ilvl w:val="0"/>
          <w:numId w:val="16"/>
        </w:numPr>
        <w:ind w:firstLineChars="0"/>
        <w:rPr>
          <w:rFonts w:hAnsi="宋体"/>
          <w:sz w:val="24"/>
          <w:szCs w:val="24"/>
        </w:rPr>
      </w:pPr>
      <w:r>
        <w:rPr>
          <w:rFonts w:hint="eastAsia" w:hAnsi="宋体"/>
          <w:sz w:val="24"/>
          <w:szCs w:val="24"/>
        </w:rPr>
        <w:t>中国红军城，</w:t>
      </w:r>
      <w:r>
        <w:rPr>
          <w:rFonts w:hAnsi="宋体"/>
          <w:sz w:val="24"/>
          <w:szCs w:val="24"/>
        </w:rPr>
        <w:t>川陕</w:t>
      </w:r>
      <w:r>
        <w:rPr>
          <w:rFonts w:hint="eastAsia" w:hAnsi="宋体"/>
          <w:sz w:val="24"/>
          <w:szCs w:val="24"/>
        </w:rPr>
        <w:t>革命首府</w:t>
      </w:r>
    </w:p>
    <w:p>
      <w:pPr>
        <w:ind w:firstLine="480"/>
        <w:rPr>
          <w:szCs w:val="22"/>
        </w:rPr>
      </w:pPr>
      <w:r>
        <w:rPr>
          <w:rFonts w:hint="eastAsia" w:hAnsi="宋体"/>
        </w:rPr>
        <w:t>旺苍县是</w:t>
      </w:r>
      <w:r>
        <w:rPr>
          <w:shd w:val="clear" w:color="auto" w:fill="FFFFFF"/>
        </w:rPr>
        <w:t>红色圣地</w:t>
      </w:r>
      <w:r>
        <w:rPr>
          <w:rFonts w:hint="eastAsia"/>
          <w:shd w:val="clear" w:color="auto" w:fill="FFFFFF"/>
        </w:rPr>
        <w:t>——</w:t>
      </w:r>
      <w:r>
        <w:t>川陕革命根据地后期首府</w:t>
      </w:r>
      <w:r>
        <w:rPr>
          <w:rFonts w:hint="eastAsia"/>
          <w:shd w:val="clear" w:color="auto" w:fill="FFFFFF"/>
        </w:rPr>
        <w:t>，</w:t>
      </w:r>
      <w:r>
        <w:rPr>
          <w:rFonts w:hint="eastAsia"/>
          <w:szCs w:val="22"/>
        </w:rPr>
        <w:t>旺苍县的红色文化特色突出，保留有中国唯一的“红军城”</w:t>
      </w:r>
      <w:r>
        <w:rPr>
          <w:shd w:val="clear" w:color="auto" w:fill="FFFFFF"/>
        </w:rPr>
        <w:t>。</w:t>
      </w:r>
      <w:r>
        <w:rPr>
          <w:rFonts w:hint="eastAsia"/>
          <w:shd w:val="clear" w:color="auto" w:fill="FFFFFF"/>
        </w:rPr>
        <w:t>旺苍</w:t>
      </w:r>
      <w:r>
        <w:rPr>
          <w:shd w:val="clear" w:color="auto" w:fill="FFFFFF"/>
        </w:rPr>
        <w:t>诞生了人民军队历史上最早最大规模的妇女武装——红军妇女独立师、最早的水兵建制——红四方面军总指挥部直属水兵连、最大建制的红色童子团——少共国际师</w:t>
      </w:r>
      <w:r>
        <w:rPr>
          <w:rFonts w:hint="eastAsia"/>
          <w:shd w:val="clear" w:color="auto" w:fill="FFFFFF"/>
        </w:rPr>
        <w:t>。旺苍独一无二的</w:t>
      </w:r>
      <w:r>
        <w:rPr>
          <w:shd w:val="clear" w:color="auto" w:fill="FFFFFF"/>
        </w:rPr>
        <w:t>红色文化</w:t>
      </w:r>
      <w:r>
        <w:rPr>
          <w:rFonts w:hint="eastAsia"/>
          <w:shd w:val="clear" w:color="auto" w:fill="FFFFFF"/>
        </w:rPr>
        <w:t>具有重要的爱国教育价值。</w:t>
      </w:r>
    </w:p>
    <w:p>
      <w:pPr>
        <w:pStyle w:val="62"/>
        <w:numPr>
          <w:ilvl w:val="0"/>
          <w:numId w:val="16"/>
        </w:numPr>
        <w:ind w:firstLineChars="0"/>
        <w:rPr>
          <w:rFonts w:hAnsi="宋体"/>
          <w:sz w:val="24"/>
          <w:szCs w:val="24"/>
        </w:rPr>
      </w:pPr>
      <w:r>
        <w:rPr>
          <w:rFonts w:hint="eastAsia" w:hAnsi="宋体"/>
          <w:sz w:val="24"/>
          <w:szCs w:val="24"/>
        </w:rPr>
        <w:t>人文荟萃，多元融合</w:t>
      </w:r>
    </w:p>
    <w:p>
      <w:pPr>
        <w:ind w:firstLine="480"/>
      </w:pPr>
      <w:r>
        <w:rPr>
          <w:rFonts w:hint="eastAsia"/>
        </w:rPr>
        <w:t>旺苍县以红色文化为特色，同时形成多元文化融合的局面。旺苍除了道教、佛教、伊斯兰教等文化以外，还拥有川北民俗文化、曲艺文化、移民文化等多种文化，包括“旺苍端公戏”省级非物质文化遗产，是中国红色文化的杰出代表，是川陕革命老区的重要组成，是川北民俗文化的重要代表。民歌“旺苍端公戏”</w:t>
      </w:r>
      <w:r>
        <w:t>有</w:t>
      </w:r>
      <w:r>
        <w:rPr>
          <w:rFonts w:hint="eastAsia"/>
        </w:rPr>
        <w:t>东方活化石之称、“旺苍端公戏”为省级非物质</w:t>
      </w:r>
      <w:r>
        <w:t>文化遗产</w:t>
      </w:r>
      <w:r>
        <w:rPr>
          <w:rFonts w:hint="eastAsia"/>
        </w:rPr>
        <w:t>。民间曲艺包括说书、讲圣谕、打花鼓、莲花闹、金钱板、渔鼓筒、打钱棍、唱清音、唱灯、唱琵琶调等多种曲艺表演形式。民间歌谣、劳动号子（船工号子、石工号子、打夯号子、抬工号子等）至今仍在流传，展示了川北风土人情，体现了一方水土养育的人群的生活方式，具有活态传承的民俗艺术价值。</w:t>
      </w:r>
    </w:p>
    <w:p>
      <w:pPr>
        <w:pStyle w:val="76"/>
        <w:ind w:left="704"/>
        <w:rPr>
          <w:color w:val="auto"/>
        </w:rPr>
      </w:pPr>
      <w:bookmarkStart w:id="22" w:name="_Toc497180738"/>
      <w:bookmarkStart w:id="23" w:name="_Toc3889185"/>
      <w:r>
        <w:rPr>
          <w:rFonts w:hint="eastAsia"/>
          <w:color w:val="auto"/>
        </w:rPr>
        <w:t>名城特色</w:t>
      </w:r>
      <w:bookmarkEnd w:id="22"/>
      <w:bookmarkEnd w:id="23"/>
    </w:p>
    <w:p>
      <w:pPr>
        <w:pStyle w:val="62"/>
        <w:numPr>
          <w:ilvl w:val="0"/>
          <w:numId w:val="17"/>
        </w:numPr>
        <w:ind w:firstLineChars="0"/>
        <w:rPr>
          <w:rFonts w:hAnsi="宋体"/>
          <w:sz w:val="24"/>
          <w:szCs w:val="24"/>
        </w:rPr>
      </w:pPr>
      <w:bookmarkStart w:id="24" w:name="_Toc497180740"/>
      <w:r>
        <w:rPr>
          <w:rFonts w:hint="eastAsia" w:hAnsi="宋体"/>
          <w:sz w:val="24"/>
          <w:szCs w:val="24"/>
        </w:rPr>
        <w:t>山水格局——依山而建，绕水为脉</w:t>
      </w:r>
    </w:p>
    <w:p>
      <w:pPr>
        <w:ind w:firstLine="480"/>
        <w:rPr>
          <w:szCs w:val="22"/>
        </w:rPr>
      </w:pPr>
      <w:r>
        <w:rPr>
          <w:rFonts w:hint="eastAsia"/>
          <w:szCs w:val="22"/>
        </w:rPr>
        <w:t>旺苍县位于秦巴山区，其</w:t>
      </w:r>
      <w:r>
        <w:rPr>
          <w:rFonts w:hint="eastAsia"/>
          <w:shd w:val="clear" w:color="auto" w:fill="FFFFFF"/>
        </w:rPr>
        <w:t>生物多样性</w:t>
      </w:r>
      <w:r>
        <w:rPr>
          <w:rFonts w:hint="eastAsia"/>
          <w:szCs w:val="22"/>
        </w:rPr>
        <w:t>生态价值高，生态保护与遗产传承相得益彰。旺苍县城市格局为两山一水一城，依山而建，绕水为脉，组团分布，是较为典型的山地河谷城市，山水城融为一体。</w:t>
      </w:r>
    </w:p>
    <w:p>
      <w:pPr>
        <w:pStyle w:val="62"/>
        <w:numPr>
          <w:ilvl w:val="0"/>
          <w:numId w:val="17"/>
        </w:numPr>
        <w:ind w:firstLineChars="0"/>
        <w:rPr>
          <w:rFonts w:hAnsi="宋体"/>
          <w:sz w:val="24"/>
          <w:szCs w:val="24"/>
        </w:rPr>
      </w:pPr>
      <w:r>
        <w:rPr>
          <w:rFonts w:hint="eastAsia" w:hAnsi="宋体"/>
          <w:sz w:val="24"/>
          <w:szCs w:val="24"/>
        </w:rPr>
        <w:t>选址格局——以水抱城，风水筑城</w:t>
      </w:r>
    </w:p>
    <w:p>
      <w:pPr>
        <w:ind w:firstLine="480"/>
        <w:rPr>
          <w:szCs w:val="22"/>
        </w:rPr>
      </w:pPr>
      <w:r>
        <w:rPr>
          <w:rFonts w:hint="eastAsia"/>
          <w:szCs w:val="22"/>
        </w:rPr>
        <w:t>旺苍古城朝山面水，两山相护，曲水绕城。凤凰梁老城</w:t>
      </w:r>
      <w:r>
        <w:rPr>
          <w:szCs w:val="22"/>
        </w:rPr>
        <w:t>和</w:t>
      </w:r>
      <w:r>
        <w:rPr>
          <w:rFonts w:hint="eastAsia"/>
          <w:szCs w:val="22"/>
        </w:rPr>
        <w:t>红军城选址体现了中国古代风水学的理论，</w:t>
      </w:r>
      <w:r>
        <w:rPr>
          <w:szCs w:val="22"/>
        </w:rPr>
        <w:t>凤凰</w:t>
      </w:r>
      <w:r>
        <w:rPr>
          <w:rFonts w:hint="eastAsia"/>
          <w:szCs w:val="22"/>
        </w:rPr>
        <w:t>梁</w:t>
      </w:r>
      <w:r>
        <w:rPr>
          <w:szCs w:val="22"/>
        </w:rPr>
        <w:t>及红军城片区</w:t>
      </w:r>
      <w:r>
        <w:rPr>
          <w:rFonts w:hint="eastAsia"/>
          <w:szCs w:val="22"/>
        </w:rPr>
        <w:t>均</w:t>
      </w:r>
      <w:r>
        <w:rPr>
          <w:szCs w:val="22"/>
        </w:rPr>
        <w:t>围绕东河</w:t>
      </w:r>
      <w:r>
        <w:rPr>
          <w:rFonts w:hint="eastAsia"/>
          <w:szCs w:val="22"/>
        </w:rPr>
        <w:t>分布</w:t>
      </w:r>
      <w:r>
        <w:rPr>
          <w:szCs w:val="22"/>
        </w:rPr>
        <w:t>，形成三</w:t>
      </w:r>
      <w:r>
        <w:rPr>
          <w:rFonts w:hint="eastAsia"/>
          <w:szCs w:val="22"/>
        </w:rPr>
        <w:t>水环抱</w:t>
      </w:r>
      <w:r>
        <w:rPr>
          <w:szCs w:val="22"/>
        </w:rPr>
        <w:t>老城、两</w:t>
      </w:r>
      <w:r>
        <w:rPr>
          <w:rFonts w:hint="eastAsia"/>
          <w:szCs w:val="22"/>
        </w:rPr>
        <w:t>水环抱历史城区</w:t>
      </w:r>
      <w:r>
        <w:rPr>
          <w:szCs w:val="22"/>
        </w:rPr>
        <w:t>的格局</w:t>
      </w:r>
      <w:r>
        <w:rPr>
          <w:rFonts w:hint="eastAsia"/>
          <w:szCs w:val="22"/>
        </w:rPr>
        <w:t>。</w:t>
      </w:r>
    </w:p>
    <w:p>
      <w:pPr>
        <w:pStyle w:val="62"/>
        <w:numPr>
          <w:ilvl w:val="0"/>
          <w:numId w:val="17"/>
        </w:numPr>
        <w:ind w:firstLineChars="0"/>
        <w:rPr>
          <w:rFonts w:hAnsi="宋体"/>
          <w:sz w:val="24"/>
          <w:szCs w:val="24"/>
        </w:rPr>
      </w:pPr>
      <w:r>
        <w:rPr>
          <w:rFonts w:hint="eastAsia" w:hAnsi="宋体"/>
          <w:sz w:val="24"/>
          <w:szCs w:val="24"/>
        </w:rPr>
        <w:t>传统肌理——鱼骨街巷，肌理分明</w:t>
      </w:r>
    </w:p>
    <w:p>
      <w:pPr>
        <w:ind w:firstLine="480"/>
        <w:rPr>
          <w:szCs w:val="22"/>
        </w:rPr>
      </w:pPr>
      <w:r>
        <w:rPr>
          <w:rFonts w:hint="eastAsia"/>
          <w:szCs w:val="22"/>
        </w:rPr>
        <w:t>红军城历史城区</w:t>
      </w:r>
      <w:r>
        <w:rPr>
          <w:szCs w:val="22"/>
        </w:rPr>
        <w:t>的道路及建筑形成的</w:t>
      </w:r>
      <w:r>
        <w:rPr>
          <w:rFonts w:hint="eastAsia"/>
          <w:szCs w:val="22"/>
        </w:rPr>
        <w:t>图底</w:t>
      </w:r>
      <w:r>
        <w:rPr>
          <w:szCs w:val="22"/>
        </w:rPr>
        <w:t>关系</w:t>
      </w:r>
      <w:r>
        <w:rPr>
          <w:rFonts w:hint="eastAsia"/>
          <w:szCs w:val="22"/>
        </w:rPr>
        <w:t>体现了</w:t>
      </w:r>
      <w:r>
        <w:rPr>
          <w:szCs w:val="22"/>
        </w:rPr>
        <w:t>典型的传统肌理——</w:t>
      </w:r>
      <w:r>
        <w:rPr>
          <w:rFonts w:hint="eastAsia"/>
          <w:szCs w:val="22"/>
        </w:rPr>
        <w:t>鱼骨状</w:t>
      </w:r>
      <w:r>
        <w:rPr>
          <w:szCs w:val="22"/>
        </w:rPr>
        <w:t>。</w:t>
      </w:r>
    </w:p>
    <w:p>
      <w:pPr>
        <w:pStyle w:val="62"/>
        <w:numPr>
          <w:ilvl w:val="0"/>
          <w:numId w:val="17"/>
        </w:numPr>
        <w:ind w:firstLineChars="0"/>
        <w:rPr>
          <w:rFonts w:hAnsi="宋体"/>
          <w:sz w:val="24"/>
          <w:szCs w:val="24"/>
        </w:rPr>
      </w:pPr>
      <w:r>
        <w:rPr>
          <w:rFonts w:hint="eastAsia" w:hAnsi="宋体"/>
          <w:sz w:val="24"/>
          <w:szCs w:val="24"/>
        </w:rPr>
        <w:t>建筑风格——川北民居，活态传承</w:t>
      </w:r>
    </w:p>
    <w:p>
      <w:pPr>
        <w:ind w:firstLine="480"/>
        <w:rPr>
          <w:rFonts w:hAnsi="宋体"/>
          <w:highlight w:val="red"/>
        </w:rPr>
      </w:pPr>
      <w:r>
        <w:rPr>
          <w:rFonts w:hint="eastAsia"/>
          <w:szCs w:val="22"/>
        </w:rPr>
        <w:t>旺苍历史城区的建筑风格为典型的川北民居风格，</w:t>
      </w:r>
      <w:r>
        <w:rPr>
          <w:szCs w:val="22"/>
        </w:rPr>
        <w:t>是川北民居的</w:t>
      </w:r>
      <w:r>
        <w:rPr>
          <w:rFonts w:hint="eastAsia"/>
          <w:szCs w:val="22"/>
        </w:rPr>
        <w:t>活态传承</w:t>
      </w:r>
      <w:r>
        <w:rPr>
          <w:szCs w:val="22"/>
        </w:rPr>
        <w:t>载体</w:t>
      </w:r>
      <w:r>
        <w:rPr>
          <w:rFonts w:hint="eastAsia"/>
          <w:szCs w:val="22"/>
        </w:rPr>
        <w:t>。</w:t>
      </w:r>
      <w:r>
        <w:rPr>
          <w:rFonts w:hint="eastAsia" w:hAnsi="宋体"/>
        </w:rPr>
        <w:t>旺苍汇集了川北民居建筑，</w:t>
      </w:r>
      <w:r>
        <w:rPr>
          <w:rFonts w:hint="eastAsia" w:ascii="宋体" w:hAnsi="宋体"/>
        </w:rPr>
        <w:t>为研究川北传统民居建筑技术与艺术提供了极佳的素材。</w:t>
      </w:r>
      <w:r>
        <w:rPr>
          <w:rFonts w:hint="eastAsia"/>
        </w:rPr>
        <w:t>旺苍县城的佛教建筑、道教建筑，是研究中国古建筑的宝贵素材。</w:t>
      </w:r>
    </w:p>
    <w:p>
      <w:pPr>
        <w:ind w:firstLine="480"/>
        <w:rPr>
          <w:szCs w:val="22"/>
        </w:rPr>
      </w:pPr>
    </w:p>
    <w:bookmarkEnd w:id="24"/>
    <w:p>
      <w:pPr>
        <w:pStyle w:val="78"/>
      </w:pPr>
      <w:bookmarkStart w:id="25" w:name="_Toc497180755"/>
      <w:bookmarkStart w:id="26" w:name="_Toc3889186"/>
      <w:bookmarkStart w:id="27" w:name="_Toc467524390"/>
      <w:r>
        <w:rPr>
          <w:rFonts w:hint="eastAsia"/>
        </w:rPr>
        <w:t>总体保护</w:t>
      </w:r>
      <w:r>
        <w:t>框架</w:t>
      </w:r>
      <w:bookmarkEnd w:id="25"/>
      <w:bookmarkEnd w:id="26"/>
    </w:p>
    <w:p>
      <w:pPr>
        <w:pStyle w:val="76"/>
        <w:ind w:left="704"/>
        <w:rPr>
          <w:color w:val="auto"/>
        </w:rPr>
      </w:pPr>
      <w:bookmarkStart w:id="28" w:name="_Toc3889187"/>
      <w:bookmarkStart w:id="29" w:name="_Toc497180756"/>
      <w:r>
        <w:rPr>
          <w:rFonts w:hint="eastAsia"/>
          <w:color w:val="auto"/>
        </w:rPr>
        <w:t>保护目标</w:t>
      </w:r>
      <w:bookmarkEnd w:id="28"/>
    </w:p>
    <w:p>
      <w:pPr>
        <w:spacing w:line="360" w:lineRule="auto"/>
        <w:ind w:firstLine="480"/>
        <w:rPr>
          <w:rFonts w:ascii="宋体" w:hAnsi="宋体"/>
        </w:rPr>
      </w:pPr>
      <w:r>
        <w:rPr>
          <w:rFonts w:hint="eastAsia" w:ascii="宋体" w:hAnsi="宋体"/>
        </w:rPr>
        <w:t>1.总体</w:t>
      </w:r>
      <w:r>
        <w:rPr>
          <w:rFonts w:ascii="宋体" w:hAnsi="宋体"/>
        </w:rPr>
        <w:t>保护目标</w:t>
      </w:r>
    </w:p>
    <w:p>
      <w:pPr>
        <w:spacing w:line="360" w:lineRule="auto"/>
        <w:ind w:firstLine="480"/>
        <w:rPr>
          <w:rFonts w:ascii="宋体" w:hAnsi="宋体"/>
        </w:rPr>
      </w:pPr>
      <w:r>
        <w:rPr>
          <w:rFonts w:hint="eastAsia"/>
        </w:rPr>
        <w:t>构建</w:t>
      </w:r>
      <w:r>
        <w:t>完善的</w:t>
      </w:r>
      <w:r>
        <w:rPr>
          <w:rFonts w:hint="eastAsia"/>
        </w:rPr>
        <w:t>历史文化</w:t>
      </w:r>
      <w:r>
        <w:t>遗产保护体系，统筹保护与发展</w:t>
      </w:r>
      <w:r>
        <w:rPr>
          <w:rFonts w:hint="eastAsia"/>
        </w:rPr>
        <w:t>，完善保护机制，</w:t>
      </w:r>
      <w:r>
        <w:rPr>
          <w:rFonts w:ascii="宋体" w:hAnsi="宋体"/>
        </w:rPr>
        <w:t>既使旺苍县城市社会经济得以发展，又使</w:t>
      </w:r>
      <w:r>
        <w:rPr>
          <w:rFonts w:hint="eastAsia" w:ascii="宋体" w:hAnsi="宋体"/>
        </w:rPr>
        <w:t>城市格局、</w:t>
      </w:r>
      <w:r>
        <w:rPr>
          <w:rFonts w:ascii="宋体" w:hAnsi="宋体"/>
        </w:rPr>
        <w:t>川北建筑</w:t>
      </w:r>
      <w:r>
        <w:rPr>
          <w:rFonts w:hint="eastAsia" w:ascii="宋体" w:hAnsi="宋体"/>
        </w:rPr>
        <w:t>、</w:t>
      </w:r>
      <w:r>
        <w:rPr>
          <w:rFonts w:ascii="宋体" w:hAnsi="宋体"/>
        </w:rPr>
        <w:t>红军文化等得以保护，</w:t>
      </w:r>
      <w:r>
        <w:rPr>
          <w:rFonts w:hint="eastAsia" w:ascii="宋体" w:hAnsi="宋体"/>
        </w:rPr>
        <w:t>使旺苍成为</w:t>
      </w:r>
      <w:r>
        <w:rPr>
          <w:rFonts w:ascii="宋体" w:hAnsi="宋体"/>
        </w:rPr>
        <w:t>文态与</w:t>
      </w:r>
      <w:r>
        <w:rPr>
          <w:rFonts w:hint="eastAsia" w:ascii="宋体" w:hAnsi="宋体"/>
        </w:rPr>
        <w:t>生态</w:t>
      </w:r>
      <w:r>
        <w:rPr>
          <w:rFonts w:ascii="宋体" w:hAnsi="宋体"/>
        </w:rPr>
        <w:t>相得益彰</w:t>
      </w:r>
      <w:r>
        <w:rPr>
          <w:rFonts w:hint="eastAsia" w:ascii="宋体" w:hAnsi="宋体"/>
        </w:rPr>
        <w:t>，</w:t>
      </w:r>
      <w:r>
        <w:rPr>
          <w:rFonts w:ascii="宋体" w:hAnsi="宋体"/>
        </w:rPr>
        <w:t>保护与发展齐头并进的省级历史文化名城。</w:t>
      </w:r>
    </w:p>
    <w:p>
      <w:pPr>
        <w:spacing w:line="360" w:lineRule="auto"/>
        <w:ind w:firstLine="480"/>
        <w:rPr>
          <w:rFonts w:ascii="宋体" w:hAnsi="宋体"/>
        </w:rPr>
      </w:pPr>
      <w:r>
        <w:rPr>
          <w:rFonts w:hint="eastAsia" w:ascii="宋体" w:hAnsi="宋体"/>
        </w:rPr>
        <w:t>2.</w:t>
      </w:r>
      <w:r>
        <w:rPr>
          <w:rFonts w:ascii="宋体" w:hAnsi="宋体"/>
        </w:rPr>
        <w:t>近期目标</w:t>
      </w:r>
    </w:p>
    <w:p>
      <w:pPr>
        <w:spacing w:line="360" w:lineRule="auto"/>
        <w:ind w:firstLine="480"/>
        <w:rPr>
          <w:rFonts w:ascii="宋体" w:hAnsi="宋体"/>
        </w:rPr>
      </w:pPr>
      <w:r>
        <w:rPr>
          <w:rFonts w:ascii="宋体" w:hAnsi="宋体"/>
        </w:rPr>
        <w:t>保护为主，保护和修葺破损的文物古迹，完善古城基础设施和配套设施，提高居民生活质量，为名城保护总目标的实施奠定基础。</w:t>
      </w:r>
    </w:p>
    <w:p>
      <w:pPr>
        <w:spacing w:line="360" w:lineRule="auto"/>
        <w:ind w:firstLine="480"/>
        <w:rPr>
          <w:rFonts w:ascii="宋体" w:hAnsi="宋体"/>
        </w:rPr>
      </w:pPr>
      <w:r>
        <w:rPr>
          <w:rFonts w:hint="eastAsia" w:ascii="宋体" w:hAnsi="宋体"/>
        </w:rPr>
        <w:t>3.</w:t>
      </w:r>
      <w:r>
        <w:rPr>
          <w:rFonts w:ascii="宋体" w:hAnsi="宋体"/>
        </w:rPr>
        <w:t>远期目标</w:t>
      </w:r>
    </w:p>
    <w:p>
      <w:pPr>
        <w:spacing w:line="360" w:lineRule="auto"/>
        <w:ind w:firstLine="480"/>
        <w:rPr>
          <w:rFonts w:ascii="宋体" w:hAnsi="宋体"/>
        </w:rPr>
      </w:pPr>
      <w:r>
        <w:rPr>
          <w:rFonts w:ascii="宋体" w:hAnsi="宋体"/>
        </w:rPr>
        <w:t>文物古迹和历史建筑得到较好的保护和利用。历史街区环境得到有效的保护和整治，古城格局和风貌得到保护，名城社会、经济、文化可持续发展。</w:t>
      </w:r>
    </w:p>
    <w:p>
      <w:pPr>
        <w:pStyle w:val="76"/>
        <w:ind w:left="704"/>
        <w:rPr>
          <w:color w:val="auto"/>
        </w:rPr>
      </w:pPr>
      <w:bookmarkStart w:id="30" w:name="_Toc3889188"/>
      <w:r>
        <w:rPr>
          <w:rFonts w:hint="eastAsia"/>
          <w:color w:val="auto"/>
        </w:rPr>
        <w:t>指导思想</w:t>
      </w:r>
      <w:bookmarkEnd w:id="30"/>
    </w:p>
    <w:p>
      <w:pPr>
        <w:ind w:firstLine="480"/>
        <w:rPr>
          <w:rFonts w:ascii="方正仿宋简体"/>
          <w:bCs/>
          <w:szCs w:val="21"/>
        </w:rPr>
      </w:pPr>
      <w:r>
        <w:rPr>
          <w:rFonts w:hint="eastAsia"/>
        </w:rPr>
        <w:t>深入贯彻中央和四川省关于历史文化保护</w:t>
      </w:r>
      <w:r>
        <w:rPr>
          <w:rFonts w:hint="eastAsia" w:ascii="方正仿宋简体"/>
          <w:bCs/>
          <w:szCs w:val="21"/>
        </w:rPr>
        <w:t>的精神，坚定文化自信，树立“历史文化是城市的灵魂，要像爱惜自己的生命一样保护好城市历史文化遗产”的城市发展理念。坚持原真性、完整性、永续性保护原则，充分挖掘旺苍县历史价值和文化特色，构建契合实际的保护框架，确定保护重点及保护内容，注重与城市总体规划的衔接，兼顾人居环境改善与社会经济发展，为旺苍县保护和发扬红色文化和其他传统优秀文化提供科学的规划支撑，促进保护与发展的统一。</w:t>
      </w:r>
    </w:p>
    <w:p>
      <w:pPr>
        <w:pStyle w:val="76"/>
        <w:ind w:left="704"/>
        <w:rPr>
          <w:color w:val="auto"/>
        </w:rPr>
      </w:pPr>
      <w:bookmarkStart w:id="31" w:name="_Toc3889189"/>
      <w:r>
        <w:rPr>
          <w:rFonts w:hint="eastAsia"/>
          <w:color w:val="auto"/>
        </w:rPr>
        <w:t>保护原则</w:t>
      </w:r>
      <w:bookmarkEnd w:id="31"/>
    </w:p>
    <w:p>
      <w:pPr>
        <w:ind w:firstLine="480"/>
      </w:pPr>
      <w:r>
        <w:rPr>
          <w:rFonts w:hint="eastAsia"/>
        </w:rPr>
        <w:t>1、维护遗产本提及环境的真实性</w:t>
      </w:r>
    </w:p>
    <w:p>
      <w:pPr>
        <w:ind w:firstLine="480"/>
      </w:pPr>
      <w:r>
        <w:rPr>
          <w:rFonts w:hint="eastAsia" w:ascii="宋体" w:hAnsi="宋体"/>
        </w:rPr>
        <w:t>注重遗产本体及其环境的真实性，全面、真实的研究历史资源的价值。维护历史文化遗产的核心价值，依法提出针对性保护措施，避免盲目重建、拆真建假。</w:t>
      </w:r>
    </w:p>
    <w:p>
      <w:pPr>
        <w:ind w:firstLine="480"/>
      </w:pPr>
      <w:r>
        <w:rPr>
          <w:rFonts w:hint="eastAsia"/>
        </w:rPr>
        <w:t>2、完整性保护原则</w:t>
      </w:r>
    </w:p>
    <w:p>
      <w:pPr>
        <w:ind w:firstLine="480"/>
      </w:pPr>
      <w:r>
        <w:rPr>
          <w:rFonts w:hint="eastAsia" w:ascii="宋体" w:hAnsi="宋体"/>
        </w:rPr>
        <w:t>历史文化遗产及其周边环境共同体现了完整的遗产价值，两者保护古城、历史文化街区的整体格局、环境特征及文化内涵和形成要素，完整保护历史文化遗产及其相互依存的历史环境。实现名城保护与城市发展统筹协调。</w:t>
      </w:r>
    </w:p>
    <w:p>
      <w:pPr>
        <w:ind w:firstLine="480"/>
      </w:pPr>
      <w:r>
        <w:rPr>
          <w:rFonts w:hint="eastAsia"/>
        </w:rPr>
        <w:t>3、合理利用、永续利用的原则</w:t>
      </w:r>
    </w:p>
    <w:p>
      <w:pPr>
        <w:spacing w:line="360" w:lineRule="auto"/>
        <w:ind w:firstLine="480"/>
        <w:rPr>
          <w:rFonts w:ascii="宋体" w:hAnsi="宋体"/>
        </w:rPr>
      </w:pPr>
      <w:r>
        <w:rPr>
          <w:rFonts w:hint="eastAsia" w:ascii="宋体" w:hAnsi="宋体"/>
        </w:rPr>
        <w:t>保护为主、抢救第一，在保护的前提下进行合理利用，严禁过分追求经济利益。在利用中突出历史文化价值，注重合理发挥历史文化资源的经济效益与社会效益，促进资源可持续利用。</w:t>
      </w:r>
    </w:p>
    <w:p>
      <w:pPr>
        <w:pStyle w:val="76"/>
        <w:ind w:left="0"/>
        <w:rPr>
          <w:color w:val="auto"/>
        </w:rPr>
      </w:pPr>
      <w:bookmarkStart w:id="32" w:name="_Toc3889190"/>
      <w:r>
        <w:rPr>
          <w:rFonts w:hint="eastAsia"/>
          <w:color w:val="auto"/>
        </w:rPr>
        <w:t>保护框架</w:t>
      </w:r>
      <w:bookmarkEnd w:id="29"/>
      <w:bookmarkEnd w:id="32"/>
    </w:p>
    <w:p>
      <w:pPr>
        <w:pStyle w:val="62"/>
        <w:numPr>
          <w:ilvl w:val="0"/>
          <w:numId w:val="18"/>
        </w:numPr>
        <w:ind w:firstLineChars="0"/>
        <w:rPr>
          <w:rFonts w:hAnsi="宋体"/>
          <w:b/>
          <w:sz w:val="24"/>
          <w:szCs w:val="24"/>
        </w:rPr>
      </w:pPr>
      <w:r>
        <w:rPr>
          <w:rFonts w:hint="eastAsia" w:hAnsi="宋体"/>
          <w:b/>
          <w:sz w:val="24"/>
          <w:szCs w:val="24"/>
        </w:rPr>
        <w:t>保护框架</w:t>
      </w:r>
    </w:p>
    <w:p>
      <w:pPr>
        <w:ind w:firstLine="480"/>
        <w:rPr>
          <w:rFonts w:ascii="宋体" w:hAnsi="宋体"/>
          <w:bCs/>
        </w:rPr>
      </w:pPr>
      <w:r>
        <w:rPr>
          <w:rFonts w:hint="eastAsia" w:ascii="宋体" w:hAnsi="宋体"/>
          <w:bCs/>
        </w:rPr>
        <w:t>本规划构建县域、中心城区、历史城区（含传统街巷保护）、历史文化街区（历史地段）、文物保护单位（及其他文物古迹）、非物质文化遗产及优秀传统文化6个层面的保护体系。</w:t>
      </w:r>
    </w:p>
    <w:p>
      <w:pPr>
        <w:pStyle w:val="62"/>
        <w:numPr>
          <w:ilvl w:val="0"/>
          <w:numId w:val="18"/>
        </w:numPr>
        <w:ind w:firstLineChars="0"/>
        <w:rPr>
          <w:rFonts w:hAnsi="宋体"/>
          <w:b/>
          <w:sz w:val="24"/>
          <w:szCs w:val="24"/>
        </w:rPr>
      </w:pPr>
      <w:r>
        <w:rPr>
          <w:rFonts w:hint="eastAsia" w:hAnsi="宋体"/>
          <w:b/>
          <w:sz w:val="24"/>
          <w:szCs w:val="24"/>
        </w:rPr>
        <w:t>保护内容</w:t>
      </w:r>
    </w:p>
    <w:p>
      <w:pPr>
        <w:ind w:firstLine="480"/>
      </w:pPr>
      <w:r>
        <w:rPr>
          <w:rFonts w:ascii="宋体" w:hAnsi="宋体"/>
          <w:bCs/>
        </w:rPr>
        <w:t>历史文化名城保护的内容包括：</w:t>
      </w:r>
      <w:r>
        <w:rPr>
          <w:rFonts w:hint="eastAsia" w:ascii="宋体" w:hAnsi="宋体"/>
          <w:bCs/>
        </w:rPr>
        <w:t>历史文化名镇（含拟申报名单）、传统村落（含拟申报名单）、文化线路、与历史遗产相关的</w:t>
      </w:r>
      <w:r>
        <w:rPr>
          <w:rFonts w:ascii="宋体" w:hAnsi="宋体"/>
          <w:bCs/>
        </w:rPr>
        <w:t>自然地貌</w:t>
      </w:r>
      <w:r>
        <w:rPr>
          <w:rFonts w:hint="eastAsia" w:ascii="宋体" w:hAnsi="宋体"/>
          <w:bCs/>
        </w:rPr>
        <w:t>和</w:t>
      </w:r>
      <w:r>
        <w:rPr>
          <w:rFonts w:ascii="宋体" w:hAnsi="宋体"/>
          <w:bCs/>
        </w:rPr>
        <w:t>风景名胜</w:t>
      </w:r>
      <w:r>
        <w:rPr>
          <w:rFonts w:hint="eastAsia" w:ascii="宋体" w:hAnsi="宋体"/>
          <w:bCs/>
        </w:rPr>
        <w:t>区</w:t>
      </w:r>
      <w:r>
        <w:rPr>
          <w:rFonts w:ascii="宋体" w:hAnsi="宋体"/>
          <w:bCs/>
        </w:rPr>
        <w:t>、</w:t>
      </w:r>
      <w:r>
        <w:rPr>
          <w:rFonts w:hint="eastAsia" w:ascii="宋体" w:hAnsi="宋体"/>
          <w:bCs/>
        </w:rPr>
        <w:t>中心城区、历史城区、历史文化街区、文物保护单位及其他文物古迹、历史环境要素、</w:t>
      </w:r>
      <w:r>
        <w:rPr>
          <w:rFonts w:hint="eastAsia"/>
        </w:rPr>
        <w:t>非物质文化遗产以及优秀传统文化。</w:t>
      </w:r>
    </w:p>
    <w:p>
      <w:pPr>
        <w:tabs>
          <w:tab w:val="left" w:pos="993"/>
        </w:tabs>
        <w:spacing w:line="360" w:lineRule="auto"/>
        <w:ind w:firstLine="398" w:firstLineChars="166"/>
      </w:pPr>
      <w:r>
        <w:rPr>
          <w:rFonts w:hint="eastAsia"/>
        </w:rPr>
        <w:t>县域</w:t>
      </w:r>
      <w:r>
        <w:t>层面</w:t>
      </w:r>
      <w:r>
        <w:rPr>
          <w:rFonts w:hint="eastAsia"/>
        </w:rPr>
        <w:t>：</w:t>
      </w:r>
      <w:r>
        <w:t>保护</w:t>
      </w:r>
      <w:r>
        <w:rPr>
          <w:rFonts w:hint="eastAsia"/>
        </w:rPr>
        <w:t>文化线路蜀道——</w:t>
      </w:r>
      <w:r>
        <w:t>米仓道</w:t>
      </w:r>
      <w:r>
        <w:rPr>
          <w:rFonts w:hint="eastAsia"/>
        </w:rPr>
        <w:t>（含</w:t>
      </w:r>
      <w:r>
        <w:t>水路和陆路</w:t>
      </w:r>
      <w:r>
        <w:rPr>
          <w:rFonts w:hint="eastAsia"/>
        </w:rPr>
        <w:t>）</w:t>
      </w:r>
      <w:r>
        <w:t>及其斜道和支道</w:t>
      </w:r>
      <w:r>
        <w:rPr>
          <w:rFonts w:hint="eastAsia"/>
        </w:rPr>
        <w:t>；1处省级历史文化名镇——木门古镇；4个第四批中国传统村落（东河镇东郊村、福庆乡农经村、化龙乡石川村、化龙乡亭子村），11个省级传统村落，2个市级传统村落；县域</w:t>
      </w:r>
      <w:r>
        <w:t>范围内的文物古迹，</w:t>
      </w:r>
      <w:r>
        <w:rPr>
          <w:rFonts w:hint="eastAsia"/>
        </w:rPr>
        <w:t>以及与</w:t>
      </w:r>
      <w:r>
        <w:t>名城价值相关的</w:t>
      </w:r>
      <w:r>
        <w:rPr>
          <w:rFonts w:hint="eastAsia"/>
        </w:rPr>
        <w:t>自然</w:t>
      </w:r>
      <w:r>
        <w:t>山水环境</w:t>
      </w:r>
      <w:r>
        <w:rPr>
          <w:rFonts w:hint="eastAsia"/>
        </w:rPr>
        <w:t>。</w:t>
      </w:r>
    </w:p>
    <w:p>
      <w:pPr>
        <w:tabs>
          <w:tab w:val="left" w:pos="993"/>
        </w:tabs>
        <w:spacing w:line="360" w:lineRule="auto"/>
        <w:ind w:firstLine="398" w:firstLineChars="166"/>
      </w:pPr>
      <w:r>
        <w:rPr>
          <w:rFonts w:hint="eastAsia"/>
        </w:rPr>
        <w:t>中心</w:t>
      </w:r>
      <w:r>
        <w:t>城区层面</w:t>
      </w:r>
      <w:r>
        <w:rPr>
          <w:rFonts w:hint="eastAsia"/>
        </w:rPr>
        <w:t>：保护省级文保中国</w:t>
      </w:r>
      <w:r>
        <w:t>红军城遗址群、</w:t>
      </w:r>
      <w:r>
        <w:rPr>
          <w:rFonts w:hint="eastAsia"/>
        </w:rPr>
        <w:t>省级文保</w:t>
      </w:r>
      <w:r>
        <w:t>南峰山石刻标语</w:t>
      </w:r>
      <w:r>
        <w:rPr>
          <w:rFonts w:hint="eastAsia"/>
        </w:rPr>
        <w:t>、省级文保</w:t>
      </w:r>
      <w:r>
        <w:t>东河印制公司旧址</w:t>
      </w:r>
      <w:r>
        <w:rPr>
          <w:rFonts w:hint="eastAsia"/>
        </w:rPr>
        <w:t>（含</w:t>
      </w:r>
      <w:r>
        <w:t>503</w:t>
      </w:r>
      <w:r>
        <w:rPr>
          <w:rFonts w:hint="eastAsia"/>
        </w:rPr>
        <w:t>厂旧址</w:t>
      </w:r>
      <w:r>
        <w:t>、金库旧址、总部机关旧址、502</w:t>
      </w:r>
      <w:r>
        <w:rPr>
          <w:rFonts w:hint="eastAsia"/>
        </w:rPr>
        <w:t>厂</w:t>
      </w:r>
      <w:r>
        <w:t>旧址、505</w:t>
      </w:r>
      <w:r>
        <w:rPr>
          <w:rFonts w:hint="eastAsia"/>
        </w:rPr>
        <w:t>厂</w:t>
      </w:r>
      <w:r>
        <w:t>旧址</w:t>
      </w:r>
      <w:r>
        <w:rPr>
          <w:rFonts w:hint="eastAsia"/>
        </w:rPr>
        <w:t>）；“两山一水”山水格局；视线通廊。</w:t>
      </w:r>
    </w:p>
    <w:p>
      <w:pPr>
        <w:tabs>
          <w:tab w:val="left" w:pos="993"/>
        </w:tabs>
        <w:spacing w:line="360" w:lineRule="auto"/>
        <w:ind w:firstLine="398" w:firstLineChars="166"/>
      </w:pPr>
      <w:r>
        <w:rPr>
          <w:rFonts w:hint="eastAsia"/>
        </w:rPr>
        <w:t>历史</w:t>
      </w:r>
      <w:r>
        <w:t>城区层面</w:t>
      </w:r>
      <w:r>
        <w:rPr>
          <w:rFonts w:hint="eastAsia"/>
        </w:rPr>
        <w:t>：保护</w:t>
      </w:r>
      <w:r>
        <w:t>传统街巷格局</w:t>
      </w:r>
      <w:r>
        <w:rPr>
          <w:rFonts w:hint="eastAsia"/>
        </w:rPr>
        <w:t>，历史城区</w:t>
      </w:r>
      <w:r>
        <w:t>内的文物古迹、古树名木</w:t>
      </w:r>
      <w:r>
        <w:rPr>
          <w:rFonts w:hint="eastAsia"/>
        </w:rPr>
        <w:t>等文化</w:t>
      </w:r>
      <w:r>
        <w:t>遗产</w:t>
      </w:r>
      <w:r>
        <w:rPr>
          <w:rFonts w:hint="eastAsia"/>
        </w:rPr>
        <w:t>。</w:t>
      </w:r>
    </w:p>
    <w:p>
      <w:pPr>
        <w:tabs>
          <w:tab w:val="left" w:pos="993"/>
        </w:tabs>
        <w:spacing w:line="360" w:lineRule="auto"/>
        <w:ind w:firstLine="398" w:firstLineChars="166"/>
      </w:pPr>
      <w:r>
        <w:rPr>
          <w:rFonts w:hint="eastAsia"/>
        </w:rPr>
        <w:t>历史</w:t>
      </w:r>
      <w:r>
        <w:t>文化街区</w:t>
      </w:r>
      <w:r>
        <w:rPr>
          <w:rFonts w:hint="eastAsia"/>
        </w:rPr>
        <w:t>层面保护：规划确定的文昌街和龙潭街组成的历史文化街区、王庙街历史文化街区。</w:t>
      </w:r>
    </w:p>
    <w:p>
      <w:pPr>
        <w:ind w:firstLine="480"/>
        <w:rPr>
          <w:b/>
          <w:u w:val="single"/>
        </w:rPr>
      </w:pPr>
      <w:r>
        <w:rPr>
          <w:rFonts w:hint="eastAsia"/>
        </w:rPr>
        <w:t>文物古迹层面：保护省级不可移动文物（含文物保护单位）16处，市级不可移动文物8处，县级不可移动文物37处，未定级不可移动文物29处，建议申报的3</w:t>
      </w:r>
      <w:r>
        <w:t>处历史建筑</w:t>
      </w:r>
      <w:r>
        <w:rPr>
          <w:rFonts w:hint="eastAsia"/>
        </w:rPr>
        <w:t>，若干传统风貌建筑，及</w:t>
      </w:r>
      <w:r>
        <w:t>其他历史文化资源</w:t>
      </w:r>
      <w:r>
        <w:rPr>
          <w:rFonts w:hint="eastAsia"/>
        </w:rPr>
        <w:t>（地下</w:t>
      </w:r>
      <w:r>
        <w:t>文物、古树名木</w:t>
      </w:r>
      <w:r>
        <w:rPr>
          <w:rFonts w:hint="eastAsia"/>
        </w:rPr>
        <w:t>等）</w:t>
      </w:r>
      <w:r>
        <w:t>。</w:t>
      </w:r>
    </w:p>
    <w:p>
      <w:pPr>
        <w:ind w:firstLine="0" w:firstLineChars="0"/>
      </w:pPr>
      <w:r>
        <w:rPr>
          <w:rFonts w:hint="eastAsia" w:ascii="宋体" w:hAnsi="宋体"/>
        </w:rPr>
        <w:t>非物质文化遗产和优秀传统文化层面：保护旺苍县各级非物质文化遗产（含旺苍县第三批非物质文化遗产名录10项），以及未列入非物质文化遗产名录的各类优秀传统文化。</w:t>
      </w:r>
    </w:p>
    <w:p>
      <w:pPr>
        <w:pStyle w:val="76"/>
        <w:ind w:left="0"/>
        <w:rPr>
          <w:color w:val="auto"/>
        </w:rPr>
      </w:pPr>
      <w:bookmarkStart w:id="33" w:name="_Toc3889191"/>
      <w:r>
        <w:rPr>
          <w:rFonts w:hint="eastAsia"/>
          <w:color w:val="auto"/>
        </w:rPr>
        <w:t>保护重点</w:t>
      </w:r>
      <w:bookmarkEnd w:id="33"/>
    </w:p>
    <w:p>
      <w:pPr>
        <w:ind w:firstLine="482"/>
        <w:rPr>
          <w:rFonts w:ascii="宋体" w:hAnsi="宋体"/>
          <w:b/>
          <w:bCs/>
          <w:u w:val="single"/>
        </w:rPr>
      </w:pPr>
      <w:r>
        <w:rPr>
          <w:rFonts w:ascii="宋体" w:hAnsi="宋体"/>
          <w:b/>
          <w:bCs/>
          <w:u w:val="single"/>
        </w:rPr>
        <w:t>1、</w:t>
      </w:r>
      <w:r>
        <w:rPr>
          <w:rFonts w:hint="eastAsia" w:ascii="宋体" w:hAnsi="宋体"/>
          <w:b/>
          <w:bCs/>
          <w:u w:val="single"/>
        </w:rPr>
        <w:t>名城</w:t>
      </w:r>
      <w:r>
        <w:rPr>
          <w:rFonts w:ascii="宋体" w:hAnsi="宋体"/>
          <w:b/>
          <w:bCs/>
          <w:u w:val="single"/>
        </w:rPr>
        <w:t>“山、水、城”相依的城市</w:t>
      </w:r>
      <w:r>
        <w:rPr>
          <w:rFonts w:hint="eastAsia" w:ascii="宋体" w:hAnsi="宋体"/>
          <w:b/>
          <w:bCs/>
          <w:u w:val="single"/>
        </w:rPr>
        <w:t>山水</w:t>
      </w:r>
      <w:r>
        <w:rPr>
          <w:rFonts w:ascii="宋体" w:hAnsi="宋体"/>
          <w:b/>
          <w:bCs/>
          <w:u w:val="single"/>
        </w:rPr>
        <w:t>格局和选址格局</w:t>
      </w:r>
      <w:r>
        <w:rPr>
          <w:rFonts w:hint="eastAsia" w:ascii="宋体" w:hAnsi="宋体"/>
          <w:b/>
          <w:bCs/>
          <w:u w:val="single"/>
        </w:rPr>
        <w:t>，</w:t>
      </w:r>
      <w:r>
        <w:rPr>
          <w:rFonts w:ascii="宋体" w:hAnsi="宋体"/>
          <w:b/>
          <w:bCs/>
          <w:u w:val="single"/>
        </w:rPr>
        <w:t>历史文化名城整体风貌。</w:t>
      </w:r>
    </w:p>
    <w:p>
      <w:pPr>
        <w:ind w:firstLine="482"/>
        <w:rPr>
          <w:rFonts w:ascii="宋体" w:hAnsi="宋体"/>
          <w:b/>
          <w:bCs/>
          <w:u w:val="single"/>
        </w:rPr>
      </w:pPr>
      <w:r>
        <w:rPr>
          <w:rFonts w:ascii="宋体" w:hAnsi="宋体"/>
          <w:b/>
          <w:bCs/>
          <w:u w:val="single"/>
        </w:rPr>
        <w:t>2、历史城区</w:t>
      </w:r>
      <w:r>
        <w:rPr>
          <w:rFonts w:hint="eastAsia" w:ascii="宋体" w:hAnsi="宋体"/>
          <w:b/>
          <w:bCs/>
          <w:u w:val="single"/>
        </w:rPr>
        <w:t>和历史文化街区、传统街巷、</w:t>
      </w:r>
      <w:r>
        <w:rPr>
          <w:rFonts w:ascii="宋体" w:hAnsi="宋体"/>
          <w:b/>
          <w:bCs/>
          <w:u w:val="single"/>
        </w:rPr>
        <w:t>各级文物</w:t>
      </w:r>
      <w:r>
        <w:rPr>
          <w:rFonts w:hint="eastAsia" w:ascii="宋体" w:hAnsi="宋体"/>
          <w:b/>
          <w:bCs/>
          <w:u w:val="single"/>
        </w:rPr>
        <w:t>古迹</w:t>
      </w:r>
      <w:r>
        <w:rPr>
          <w:rFonts w:ascii="宋体" w:hAnsi="宋体"/>
          <w:b/>
          <w:bCs/>
          <w:u w:val="single"/>
        </w:rPr>
        <w:t>的保护</w:t>
      </w:r>
      <w:r>
        <w:rPr>
          <w:rFonts w:hint="eastAsia" w:ascii="宋体" w:hAnsi="宋体"/>
          <w:b/>
          <w:bCs/>
          <w:u w:val="single"/>
        </w:rPr>
        <w:t>。</w:t>
      </w:r>
    </w:p>
    <w:p>
      <w:pPr>
        <w:ind w:firstLine="482"/>
        <w:rPr>
          <w:rFonts w:ascii="宋体" w:hAnsi="宋体"/>
          <w:b/>
          <w:bCs/>
          <w:u w:val="single"/>
        </w:rPr>
      </w:pPr>
      <w:r>
        <w:rPr>
          <w:rFonts w:ascii="宋体" w:hAnsi="宋体"/>
          <w:b/>
          <w:bCs/>
          <w:u w:val="single"/>
        </w:rPr>
        <w:t>3、</w:t>
      </w:r>
      <w:r>
        <w:rPr>
          <w:rFonts w:hint="eastAsia" w:ascii="宋体" w:hAnsi="宋体"/>
          <w:b/>
          <w:bCs/>
          <w:u w:val="single"/>
        </w:rPr>
        <w:t>省级历史文化名镇木门古镇</w:t>
      </w:r>
      <w:r>
        <w:rPr>
          <w:rFonts w:ascii="宋体" w:hAnsi="宋体"/>
          <w:b/>
          <w:bCs/>
          <w:u w:val="single"/>
        </w:rPr>
        <w:t>、</w:t>
      </w:r>
      <w:r>
        <w:rPr>
          <w:rFonts w:hint="eastAsia" w:ascii="宋体" w:hAnsi="宋体"/>
          <w:b/>
          <w:bCs/>
          <w:u w:val="single"/>
        </w:rPr>
        <w:t>文化线路</w:t>
      </w:r>
      <w:r>
        <w:rPr>
          <w:rFonts w:ascii="宋体" w:hAnsi="宋体"/>
          <w:b/>
          <w:bCs/>
          <w:u w:val="single"/>
        </w:rPr>
        <w:t>米仓道沿线的历史遗产、米仓山大峡谷风景名胜区</w:t>
      </w:r>
      <w:r>
        <w:rPr>
          <w:rFonts w:hint="eastAsia" w:ascii="宋体" w:hAnsi="宋体"/>
          <w:b/>
          <w:bCs/>
          <w:u w:val="single"/>
        </w:rPr>
        <w:t>等自然与</w:t>
      </w:r>
      <w:r>
        <w:rPr>
          <w:rFonts w:ascii="宋体" w:hAnsi="宋体"/>
          <w:b/>
          <w:bCs/>
          <w:u w:val="single"/>
        </w:rPr>
        <w:t>历史文化</w:t>
      </w:r>
      <w:r>
        <w:rPr>
          <w:rFonts w:hint="eastAsia" w:ascii="宋体" w:hAnsi="宋体"/>
          <w:b/>
          <w:bCs/>
          <w:u w:val="single"/>
        </w:rPr>
        <w:t>遗产</w:t>
      </w:r>
      <w:r>
        <w:rPr>
          <w:rFonts w:ascii="宋体" w:hAnsi="宋体"/>
          <w:b/>
          <w:bCs/>
          <w:u w:val="single"/>
        </w:rPr>
        <w:t>。</w:t>
      </w:r>
    </w:p>
    <w:p>
      <w:pPr>
        <w:pStyle w:val="76"/>
        <w:ind w:left="0"/>
        <w:rPr>
          <w:color w:val="auto"/>
        </w:rPr>
      </w:pPr>
      <w:bookmarkStart w:id="34" w:name="_Toc3889192"/>
      <w:bookmarkStart w:id="35" w:name="_Toc497180779"/>
      <w:r>
        <w:rPr>
          <w:rFonts w:hint="eastAsia"/>
          <w:color w:val="auto"/>
        </w:rPr>
        <w:t>总体保护要求</w:t>
      </w:r>
      <w:bookmarkEnd w:id="34"/>
    </w:p>
    <w:p>
      <w:pPr>
        <w:spacing w:line="360" w:lineRule="auto"/>
        <w:ind w:firstLine="480"/>
        <w:rPr>
          <w:rFonts w:ascii="宋体" w:hAnsi="宋体"/>
        </w:rPr>
      </w:pPr>
      <w:r>
        <w:rPr>
          <w:rFonts w:ascii="宋体" w:hAnsi="宋体"/>
        </w:rPr>
        <w:t>1、梳理县域内历史文化、人文资源、自然资源，完善的保护框架，构建县域历史文化保护体系，延续旺苍城乡</w:t>
      </w:r>
      <w:r>
        <w:rPr>
          <w:rFonts w:hint="eastAsia" w:ascii="宋体" w:hAnsi="宋体"/>
        </w:rPr>
        <w:t>历史</w:t>
      </w:r>
      <w:r>
        <w:rPr>
          <w:rFonts w:ascii="宋体" w:hAnsi="宋体"/>
        </w:rPr>
        <w:t>文脉。</w:t>
      </w:r>
    </w:p>
    <w:p>
      <w:pPr>
        <w:spacing w:line="360" w:lineRule="auto"/>
        <w:ind w:firstLine="480"/>
        <w:rPr>
          <w:rFonts w:ascii="宋体" w:hAnsi="宋体"/>
        </w:rPr>
      </w:pPr>
      <w:r>
        <w:rPr>
          <w:rFonts w:ascii="宋体" w:hAnsi="宋体"/>
        </w:rPr>
        <w:t>2、以人文特色和历史价值为导向，提炼旺苍重大历史节点，</w:t>
      </w:r>
      <w:r>
        <w:rPr>
          <w:rFonts w:hint="eastAsia" w:ascii="宋体" w:hAnsi="宋体"/>
        </w:rPr>
        <w:t>加强</w:t>
      </w:r>
      <w:r>
        <w:rPr>
          <w:rFonts w:ascii="宋体" w:hAnsi="宋体"/>
        </w:rPr>
        <w:t>县域历史文化遗存、非物质文化遗产和风景名胜资源的整体保护和展示利用，形成多元的县域旅游发展体系。</w:t>
      </w:r>
    </w:p>
    <w:p>
      <w:pPr>
        <w:spacing w:line="360" w:lineRule="auto"/>
        <w:ind w:firstLine="480"/>
        <w:rPr>
          <w:rFonts w:ascii="宋体" w:hAnsi="宋体"/>
        </w:rPr>
      </w:pPr>
      <w:r>
        <w:rPr>
          <w:rFonts w:ascii="宋体" w:hAnsi="宋体"/>
        </w:rPr>
        <w:t>3、在县城范围内加强红军文化</w:t>
      </w:r>
      <w:r>
        <w:rPr>
          <w:rFonts w:hint="eastAsia" w:ascii="宋体" w:hAnsi="宋体"/>
        </w:rPr>
        <w:t>和三</w:t>
      </w:r>
      <w:r>
        <w:rPr>
          <w:rFonts w:ascii="宋体" w:hAnsi="宋体"/>
        </w:rPr>
        <w:t>线文化资源保护，妥善协调</w:t>
      </w:r>
      <w:r>
        <w:rPr>
          <w:rFonts w:hint="eastAsia" w:ascii="宋体" w:hAnsi="宋体"/>
        </w:rPr>
        <w:t>历史文化</w:t>
      </w:r>
      <w:r>
        <w:rPr>
          <w:rFonts w:ascii="宋体" w:hAnsi="宋体"/>
        </w:rPr>
        <w:t>保护与城市发展的关系，将文化底蕴渗透到城市发展框架，提升城乡活力，营造人文旺苍。</w:t>
      </w:r>
    </w:p>
    <w:p>
      <w:pPr>
        <w:pStyle w:val="78"/>
      </w:pPr>
      <w:bookmarkStart w:id="36" w:name="_Toc3889193"/>
      <w:r>
        <w:rPr>
          <w:rFonts w:hint="eastAsia"/>
        </w:rPr>
        <w:t>县域</w:t>
      </w:r>
      <w:r>
        <w:t>历史文</w:t>
      </w:r>
      <w:r>
        <w:rPr>
          <w:rFonts w:hint="eastAsia"/>
        </w:rPr>
        <w:t>化</w:t>
      </w:r>
      <w:r>
        <w:t>保护</w:t>
      </w:r>
      <w:bookmarkEnd w:id="35"/>
      <w:bookmarkEnd w:id="36"/>
    </w:p>
    <w:p>
      <w:pPr>
        <w:pStyle w:val="76"/>
        <w:ind w:left="0"/>
        <w:rPr>
          <w:color w:val="auto"/>
        </w:rPr>
      </w:pPr>
      <w:bookmarkStart w:id="37" w:name="_Toc3889194"/>
      <w:bookmarkStart w:id="38" w:name="_Toc497180785"/>
      <w:r>
        <w:rPr>
          <w:rFonts w:hint="eastAsia"/>
          <w:color w:val="auto"/>
        </w:rPr>
        <w:t>县域历史文化保护结构</w:t>
      </w:r>
      <w:bookmarkEnd w:id="37"/>
    </w:p>
    <w:p>
      <w:pPr>
        <w:ind w:firstLine="480"/>
        <w:rPr>
          <w:rFonts w:ascii="宋体" w:hAnsi="宋体"/>
        </w:rPr>
      </w:pPr>
      <w:r>
        <w:rPr>
          <w:rFonts w:hint="eastAsia" w:ascii="宋体" w:hAnsi="宋体"/>
          <w:bCs/>
        </w:rPr>
        <w:t>规划县域形成“两轴、一线、一环、两核心、多节点”的县域历史文化保护结构。</w:t>
      </w:r>
    </w:p>
    <w:p>
      <w:pPr>
        <w:ind w:firstLine="480"/>
        <w:rPr>
          <w:rFonts w:ascii="宋体" w:hAnsi="宋体"/>
          <w:bCs/>
        </w:rPr>
      </w:pPr>
      <w:r>
        <w:rPr>
          <w:rFonts w:hint="eastAsia" w:ascii="宋体" w:hAnsi="宋体"/>
          <w:bCs/>
        </w:rPr>
        <w:t>两轴：沿广巴铁路沿线穿旺苍县城的横向轴线，沿木门镇、化龙乡、九龙乡的纵向轴线组</w:t>
      </w:r>
    </w:p>
    <w:p>
      <w:pPr>
        <w:ind w:firstLine="480"/>
        <w:rPr>
          <w:rFonts w:ascii="宋体" w:hAnsi="宋体"/>
          <w:bCs/>
        </w:rPr>
      </w:pPr>
      <w:r>
        <w:rPr>
          <w:rFonts w:hint="eastAsia" w:ascii="宋体" w:hAnsi="宋体"/>
          <w:bCs/>
        </w:rPr>
        <w:t>成的“T”字形自然历史文化保护轴线。</w:t>
      </w:r>
    </w:p>
    <w:p>
      <w:pPr>
        <w:ind w:firstLine="480"/>
        <w:rPr>
          <w:rFonts w:ascii="宋体" w:hAnsi="宋体"/>
          <w:bCs/>
        </w:rPr>
      </w:pPr>
      <w:r>
        <w:rPr>
          <w:rFonts w:hint="eastAsia" w:ascii="宋体" w:hAnsi="宋体"/>
          <w:bCs/>
        </w:rPr>
        <w:t>一线：由关中通往成都的米仓古道主线。</w:t>
      </w:r>
    </w:p>
    <w:p>
      <w:pPr>
        <w:ind w:firstLine="480"/>
        <w:rPr>
          <w:rFonts w:ascii="宋体" w:hAnsi="宋体"/>
          <w:bCs/>
        </w:rPr>
      </w:pPr>
      <w:r>
        <w:rPr>
          <w:rFonts w:hint="eastAsia" w:ascii="宋体" w:hAnsi="宋体"/>
          <w:bCs/>
        </w:rPr>
        <w:t>一环：串联历史文物遗迹、历史传统村镇（街道）、米仓山大峡谷风景名胜区的文化环线。</w:t>
      </w:r>
    </w:p>
    <w:p>
      <w:pPr>
        <w:ind w:firstLine="480"/>
        <w:rPr>
          <w:rFonts w:ascii="宋体" w:hAnsi="宋体"/>
          <w:bCs/>
        </w:rPr>
      </w:pPr>
      <w:r>
        <w:rPr>
          <w:rFonts w:hint="eastAsia" w:ascii="宋体" w:hAnsi="宋体"/>
          <w:bCs/>
        </w:rPr>
        <w:t>两核心：旺苍县城和木门镇为核心的历史文化核心。</w:t>
      </w:r>
    </w:p>
    <w:p>
      <w:pPr>
        <w:ind w:firstLine="480"/>
        <w:rPr>
          <w:rFonts w:ascii="宋体" w:hAnsi="宋体"/>
          <w:bCs/>
        </w:rPr>
      </w:pPr>
      <w:r>
        <w:rPr>
          <w:rFonts w:hint="eastAsia" w:ascii="宋体" w:hAnsi="宋体"/>
          <w:bCs/>
        </w:rPr>
        <w:t>多节点：较为集中的历史文物遗迹、历史传统村镇（街道）的节点。</w:t>
      </w:r>
    </w:p>
    <w:p>
      <w:pPr>
        <w:pStyle w:val="76"/>
        <w:ind w:left="704"/>
        <w:rPr>
          <w:color w:val="auto"/>
        </w:rPr>
      </w:pPr>
      <w:bookmarkStart w:id="39" w:name="_Toc3889195"/>
      <w:r>
        <w:rPr>
          <w:rFonts w:hint="eastAsia"/>
          <w:color w:val="auto"/>
        </w:rPr>
        <w:t>保护内容</w:t>
      </w:r>
      <w:bookmarkEnd w:id="39"/>
    </w:p>
    <w:p>
      <w:pPr>
        <w:ind w:firstLine="480"/>
        <w:rPr>
          <w:rFonts w:ascii="宋体" w:hAnsi="宋体"/>
          <w:strike/>
        </w:rPr>
      </w:pPr>
      <w:r>
        <w:rPr>
          <w:rFonts w:hint="eastAsia" w:ascii="宋体" w:hAnsi="宋体"/>
        </w:rPr>
        <w:t>包括与旺苍历史文化名城价值相关的文化线路、历史文化名城、名镇、传统村落和文物古迹、自然山水环境、风景名胜区、自然保护区等。</w:t>
      </w:r>
    </w:p>
    <w:p>
      <w:pPr>
        <w:pStyle w:val="76"/>
        <w:ind w:left="704"/>
        <w:rPr>
          <w:color w:val="auto"/>
        </w:rPr>
      </w:pPr>
      <w:bookmarkStart w:id="40" w:name="_Toc482731892"/>
      <w:bookmarkStart w:id="41" w:name="_Toc485072433"/>
      <w:bookmarkStart w:id="42" w:name="_Toc516839848"/>
      <w:bookmarkStart w:id="43" w:name="_Toc519775099"/>
      <w:bookmarkStart w:id="44" w:name="_Toc525829260"/>
      <w:bookmarkStart w:id="45" w:name="_Toc3889196"/>
      <w:r>
        <w:rPr>
          <w:rFonts w:hint="eastAsia"/>
        </w:rPr>
        <w:t>世界遗产——蜀道（米仓道）</w:t>
      </w:r>
      <w:bookmarkEnd w:id="40"/>
      <w:bookmarkEnd w:id="41"/>
      <w:bookmarkEnd w:id="42"/>
      <w:bookmarkEnd w:id="43"/>
      <w:bookmarkEnd w:id="44"/>
      <w:r>
        <w:rPr>
          <w:rFonts w:hint="eastAsia"/>
          <w:color w:val="auto"/>
        </w:rPr>
        <w:t>保护</w:t>
      </w:r>
      <w:bookmarkEnd w:id="38"/>
      <w:r>
        <w:rPr>
          <w:rFonts w:hint="eastAsia"/>
          <w:color w:val="auto"/>
        </w:rPr>
        <w:t>引导</w:t>
      </w:r>
      <w:bookmarkEnd w:id="45"/>
    </w:p>
    <w:p>
      <w:pPr>
        <w:pStyle w:val="62"/>
        <w:numPr>
          <w:ilvl w:val="0"/>
          <w:numId w:val="19"/>
        </w:numPr>
        <w:ind w:firstLineChars="0"/>
        <w:rPr>
          <w:rFonts w:hAnsi="宋体"/>
          <w:b/>
          <w:sz w:val="24"/>
          <w:szCs w:val="24"/>
        </w:rPr>
      </w:pPr>
      <w:bookmarkStart w:id="46" w:name="_Toc497180789"/>
      <w:r>
        <w:rPr>
          <w:rFonts w:hint="eastAsia" w:hAnsi="宋体"/>
          <w:b/>
          <w:sz w:val="24"/>
          <w:szCs w:val="24"/>
        </w:rPr>
        <w:t>旺苍县蜀道（米仓道）保护</w:t>
      </w:r>
      <w:r>
        <w:rPr>
          <w:rFonts w:hAnsi="宋体"/>
          <w:b/>
          <w:sz w:val="24"/>
          <w:szCs w:val="24"/>
        </w:rPr>
        <w:t>内容</w:t>
      </w:r>
    </w:p>
    <w:p>
      <w:pPr>
        <w:ind w:firstLine="480"/>
      </w:pPr>
      <w:r>
        <w:rPr>
          <w:rFonts w:hint="eastAsia"/>
        </w:rPr>
        <w:t>米仓道，在今陕西南郑县南，位于川陕交界，东与大巴山相连。自南郑经此山为入蜀要道，路皆险峻，古称米仓道。米仓古道，是穿越米仓山连接陕西汉中与四川北部的道路。主要有四条线路，分别沿通江、冷水河、喜神河、白岩河、宋江（即东河）河谷进入四川内地。旺苍县境内</w:t>
      </w:r>
      <w:r>
        <w:t>文化线路为米仓道</w:t>
      </w:r>
      <w:r>
        <w:rPr>
          <w:rFonts w:hint="eastAsia"/>
        </w:rPr>
        <w:t>（含</w:t>
      </w:r>
      <w:r>
        <w:t>水路和陆路</w:t>
      </w:r>
      <w:r>
        <w:rPr>
          <w:rFonts w:hint="eastAsia"/>
        </w:rPr>
        <w:t>）</w:t>
      </w:r>
      <w:r>
        <w:t>及其斜道和支道，米仓道是蜀道的</w:t>
      </w:r>
      <w:r>
        <w:rPr>
          <w:rFonts w:hint="eastAsia"/>
        </w:rPr>
        <w:t>重要组成</w:t>
      </w:r>
      <w:r>
        <w:t>。</w:t>
      </w:r>
      <w:r>
        <w:rPr>
          <w:rFonts w:hint="eastAsia" w:ascii="宋体" w:hAnsi="宋体"/>
          <w:bCs/>
        </w:rPr>
        <w:t>蜀道已经列入世界自然与文化双遗产提名。</w:t>
      </w:r>
    </w:p>
    <w:p>
      <w:pPr>
        <w:ind w:firstLine="480"/>
        <w:rPr>
          <w:rFonts w:ascii="宋体" w:hAnsi="宋体"/>
          <w:bCs/>
        </w:rPr>
      </w:pPr>
      <w:r>
        <w:rPr>
          <w:rFonts w:hint="eastAsia" w:ascii="宋体" w:hAnsi="宋体"/>
          <w:bCs/>
        </w:rPr>
        <w:t>规划对米仓道的保护主要包括三方面：</w:t>
      </w:r>
    </w:p>
    <w:p>
      <w:pPr>
        <w:ind w:firstLine="480"/>
        <w:rPr>
          <w:rFonts w:ascii="宋体" w:hAnsi="宋体"/>
          <w:bCs/>
        </w:rPr>
      </w:pPr>
      <w:r>
        <w:rPr>
          <w:rFonts w:hint="eastAsia" w:ascii="宋体" w:hAnsi="宋体"/>
          <w:bCs/>
        </w:rPr>
        <w:t>一是周边自然地理生态环境的保护，根据米仓道在</w:t>
      </w:r>
      <w:r>
        <w:rPr>
          <w:rFonts w:ascii="宋体" w:hAnsi="宋体"/>
          <w:bCs/>
        </w:rPr>
        <w:t>旺苍县域走向，周边自然生态环境</w:t>
      </w:r>
      <w:r>
        <w:rPr>
          <w:rFonts w:hint="eastAsia" w:ascii="宋体" w:hAnsi="宋体"/>
          <w:bCs/>
        </w:rPr>
        <w:t>主要</w:t>
      </w:r>
      <w:r>
        <w:rPr>
          <w:rFonts w:ascii="宋体" w:hAnsi="宋体"/>
          <w:bCs/>
        </w:rPr>
        <w:t>包括</w:t>
      </w:r>
      <w:r>
        <w:rPr>
          <w:rFonts w:hint="eastAsia" w:ascii="宋体" w:hAnsi="宋体"/>
          <w:bCs/>
        </w:rPr>
        <w:t>米仓山</w:t>
      </w:r>
      <w:r>
        <w:rPr>
          <w:rFonts w:ascii="宋体" w:hAnsi="宋体"/>
          <w:bCs/>
        </w:rPr>
        <w:t>国家级自然保护区</w:t>
      </w:r>
      <w:r>
        <w:rPr>
          <w:rFonts w:hint="eastAsia" w:ascii="宋体" w:hAnsi="宋体"/>
          <w:bCs/>
        </w:rPr>
        <w:t>、</w:t>
      </w:r>
      <w:r>
        <w:rPr>
          <w:rFonts w:ascii="宋体" w:hAnsi="宋体"/>
          <w:bCs/>
        </w:rPr>
        <w:t>鼓城山-七里峡省级</w:t>
      </w:r>
      <w:r>
        <w:rPr>
          <w:rFonts w:hint="eastAsia" w:ascii="宋体" w:hAnsi="宋体"/>
          <w:bCs/>
        </w:rPr>
        <w:t>风景名胜区</w:t>
      </w:r>
      <w:r>
        <w:rPr>
          <w:rFonts w:ascii="宋体" w:hAnsi="宋体"/>
          <w:bCs/>
        </w:rPr>
        <w:t>、</w:t>
      </w:r>
      <w:r>
        <w:rPr>
          <w:rFonts w:hint="eastAsia" w:ascii="宋体" w:hAnsi="宋体"/>
          <w:bCs/>
        </w:rPr>
        <w:t>旺苍大峡谷</w:t>
      </w:r>
      <w:r>
        <w:rPr>
          <w:rFonts w:ascii="宋体" w:hAnsi="宋体"/>
          <w:bCs/>
        </w:rPr>
        <w:t>省级森林公园、</w:t>
      </w:r>
      <w:r>
        <w:rPr>
          <w:rFonts w:hint="eastAsia" w:ascii="宋体" w:hAnsi="宋体"/>
          <w:bCs/>
        </w:rPr>
        <w:t>汉王山</w:t>
      </w:r>
      <w:r>
        <w:rPr>
          <w:rFonts w:ascii="宋体" w:hAnsi="宋体"/>
          <w:bCs/>
        </w:rPr>
        <w:t>东河湿地省级</w:t>
      </w:r>
      <w:r>
        <w:rPr>
          <w:rFonts w:hint="eastAsia" w:ascii="宋体" w:hAnsi="宋体"/>
          <w:bCs/>
        </w:rPr>
        <w:t>自然保护区</w:t>
      </w:r>
      <w:r>
        <w:rPr>
          <w:rFonts w:ascii="宋体" w:hAnsi="宋体"/>
          <w:bCs/>
        </w:rPr>
        <w:t>、</w:t>
      </w:r>
      <w:r>
        <w:rPr>
          <w:rFonts w:hint="eastAsia" w:ascii="宋体" w:hAnsi="宋体"/>
          <w:bCs/>
        </w:rPr>
        <w:t>汉王山</w:t>
      </w:r>
      <w:r>
        <w:rPr>
          <w:rFonts w:ascii="宋体" w:hAnsi="宋体"/>
          <w:bCs/>
        </w:rPr>
        <w:t>片区、</w:t>
      </w:r>
      <w:r>
        <w:rPr>
          <w:rFonts w:hint="eastAsia" w:ascii="宋体" w:hAnsi="宋体"/>
          <w:bCs/>
        </w:rPr>
        <w:t>燕子乡</w:t>
      </w:r>
      <w:r>
        <w:rPr>
          <w:rFonts w:ascii="宋体" w:hAnsi="宋体"/>
          <w:bCs/>
        </w:rPr>
        <w:t>及双汇镇的国营林场</w:t>
      </w:r>
      <w:r>
        <w:rPr>
          <w:rFonts w:hint="eastAsia" w:ascii="宋体" w:hAnsi="宋体"/>
          <w:bCs/>
        </w:rPr>
        <w:t>、东河镇</w:t>
      </w:r>
      <w:r>
        <w:rPr>
          <w:rFonts w:ascii="宋体" w:hAnsi="宋体"/>
          <w:bCs/>
        </w:rPr>
        <w:t>生态</w:t>
      </w:r>
      <w:r>
        <w:rPr>
          <w:rFonts w:hint="eastAsia" w:ascii="宋体" w:hAnsi="宋体"/>
          <w:bCs/>
        </w:rPr>
        <w:t>公园</w:t>
      </w:r>
      <w:r>
        <w:rPr>
          <w:rFonts w:ascii="宋体" w:hAnsi="宋体"/>
          <w:bCs/>
        </w:rPr>
        <w:t>等</w:t>
      </w:r>
      <w:r>
        <w:rPr>
          <w:rFonts w:hint="eastAsia" w:ascii="宋体" w:hAnsi="宋体"/>
          <w:bCs/>
        </w:rPr>
        <w:t>；</w:t>
      </w:r>
    </w:p>
    <w:p>
      <w:pPr>
        <w:ind w:firstLine="480"/>
        <w:rPr>
          <w:rFonts w:ascii="宋体" w:hAnsi="宋体"/>
          <w:bCs/>
        </w:rPr>
      </w:pPr>
      <w:r>
        <w:rPr>
          <w:rFonts w:hint="eastAsia" w:ascii="宋体" w:hAnsi="宋体"/>
          <w:bCs/>
        </w:rPr>
        <w:t>二是线路本身与线路功能相关的其他物质遗产的保护。线路本身即</w:t>
      </w:r>
      <w:r>
        <w:t>米仓道</w:t>
      </w:r>
      <w:r>
        <w:rPr>
          <w:rFonts w:hint="eastAsia"/>
        </w:rPr>
        <w:t>（含</w:t>
      </w:r>
      <w:r>
        <w:t>水路和陆路</w:t>
      </w:r>
      <w:r>
        <w:rPr>
          <w:rFonts w:hint="eastAsia"/>
        </w:rPr>
        <w:t>）</w:t>
      </w:r>
      <w:r>
        <w:t>及其斜道和支道</w:t>
      </w:r>
      <w:r>
        <w:rPr>
          <w:rFonts w:hint="eastAsia"/>
        </w:rPr>
        <w:t>，自南向北</w:t>
      </w:r>
      <w:r>
        <w:t>覆盖檬子</w:t>
      </w:r>
      <w:r>
        <w:rPr>
          <w:rFonts w:hint="eastAsia"/>
        </w:rPr>
        <w:t>乡</w:t>
      </w:r>
      <w:r>
        <w:t>、米仓山镇、英萃镇、正源乡、</w:t>
      </w:r>
      <w:r>
        <w:rPr>
          <w:rFonts w:hint="eastAsia"/>
        </w:rPr>
        <w:t>双汇镇</w:t>
      </w:r>
      <w:r>
        <w:t>、燕子乡</w:t>
      </w:r>
      <w:r>
        <w:rPr>
          <w:rFonts w:hint="eastAsia"/>
        </w:rPr>
        <w:t>、</w:t>
      </w:r>
      <w:r>
        <w:t>高阳镇、</w:t>
      </w:r>
      <w:r>
        <w:rPr>
          <w:rFonts w:hint="eastAsia"/>
        </w:rPr>
        <w:t>白水</w:t>
      </w:r>
      <w:r>
        <w:t>镇、尚武镇、嘉川镇、东河镇、黄洋镇、普</w:t>
      </w:r>
      <w:r>
        <w:rPr>
          <w:rFonts w:hint="eastAsia"/>
        </w:rPr>
        <w:t>济</w:t>
      </w:r>
      <w:r>
        <w:t>镇、</w:t>
      </w:r>
      <w:r>
        <w:rPr>
          <w:rFonts w:hint="eastAsia"/>
        </w:rPr>
        <w:t>金溪镇</w:t>
      </w:r>
      <w:r>
        <w:t>、</w:t>
      </w:r>
      <w:r>
        <w:rPr>
          <w:rFonts w:hint="eastAsia"/>
        </w:rPr>
        <w:t>张华镇</w:t>
      </w:r>
      <w:r>
        <w:t>、</w:t>
      </w:r>
      <w:r>
        <w:rPr>
          <w:rFonts w:hint="eastAsia"/>
        </w:rPr>
        <w:t>农建乡</w:t>
      </w:r>
      <w:r>
        <w:t>、木门镇</w:t>
      </w:r>
      <w:r>
        <w:rPr>
          <w:rFonts w:hint="eastAsia"/>
        </w:rPr>
        <w:t>。</w:t>
      </w:r>
      <w:r>
        <w:rPr>
          <w:rFonts w:hint="eastAsia" w:ascii="宋体" w:hAnsi="宋体"/>
          <w:bCs/>
        </w:rPr>
        <w:t>与线路功能相关的其他物质遗产自南向北</w:t>
      </w:r>
      <w:r>
        <w:rPr>
          <w:rFonts w:ascii="宋体" w:hAnsi="宋体"/>
          <w:bCs/>
        </w:rPr>
        <w:t>主要包括</w:t>
      </w:r>
      <w:r>
        <w:rPr>
          <w:rFonts w:hint="eastAsia" w:ascii="宋体" w:hAnsi="宋体"/>
          <w:bCs/>
        </w:rPr>
        <w:t>英萃镇英</w:t>
      </w:r>
      <w:r>
        <w:rPr>
          <w:rFonts w:ascii="宋体" w:hAnsi="宋体"/>
          <w:bCs/>
        </w:rPr>
        <w:t>安县</w:t>
      </w:r>
      <w:r>
        <w:rPr>
          <w:rFonts w:hint="eastAsia" w:ascii="宋体" w:hAnsi="宋体"/>
          <w:bCs/>
        </w:rPr>
        <w:t>苏维埃</w:t>
      </w:r>
      <w:r>
        <w:rPr>
          <w:rFonts w:ascii="宋体" w:hAnsi="宋体"/>
          <w:bCs/>
        </w:rPr>
        <w:t>政府旧址</w:t>
      </w:r>
      <w:r>
        <w:rPr>
          <w:rFonts w:hint="eastAsia" w:ascii="宋体" w:hAnsi="宋体"/>
          <w:bCs/>
        </w:rPr>
        <w:t>、福庆乡</w:t>
      </w:r>
      <w:r>
        <w:rPr>
          <w:rFonts w:ascii="宋体" w:hAnsi="宋体"/>
          <w:bCs/>
        </w:rPr>
        <w:t>中国传统村落农经村及</w:t>
      </w:r>
      <w:r>
        <w:rPr>
          <w:rFonts w:hint="eastAsia" w:ascii="宋体" w:hAnsi="宋体"/>
          <w:bCs/>
        </w:rPr>
        <w:t>福庆</w:t>
      </w:r>
      <w:r>
        <w:rPr>
          <w:rFonts w:ascii="宋体" w:hAnsi="宋体"/>
          <w:bCs/>
        </w:rPr>
        <w:t>石</w:t>
      </w:r>
      <w:r>
        <w:rPr>
          <w:rFonts w:hint="eastAsia" w:ascii="宋体" w:hAnsi="宋体"/>
          <w:bCs/>
        </w:rPr>
        <w:t>家</w:t>
      </w:r>
      <w:r>
        <w:rPr>
          <w:rFonts w:ascii="宋体" w:hAnsi="宋体"/>
          <w:bCs/>
        </w:rPr>
        <w:t>大院等文物古迹、</w:t>
      </w:r>
      <w:r>
        <w:rPr>
          <w:rFonts w:hint="eastAsia" w:ascii="宋体" w:hAnsi="宋体"/>
          <w:bCs/>
        </w:rPr>
        <w:t>东河镇</w:t>
      </w:r>
      <w:r>
        <w:rPr>
          <w:rFonts w:ascii="宋体" w:hAnsi="宋体"/>
          <w:bCs/>
        </w:rPr>
        <w:t>中国传统村落</w:t>
      </w:r>
      <w:r>
        <w:rPr>
          <w:rFonts w:hint="eastAsia" w:ascii="宋体" w:hAnsi="宋体"/>
          <w:bCs/>
        </w:rPr>
        <w:t>东郊村</w:t>
      </w:r>
      <w:r>
        <w:rPr>
          <w:rFonts w:ascii="宋体" w:hAnsi="宋体"/>
          <w:bCs/>
        </w:rPr>
        <w:t>及</w:t>
      </w:r>
      <w:r>
        <w:rPr>
          <w:rFonts w:hint="eastAsia" w:ascii="宋体" w:hAnsi="宋体"/>
          <w:bCs/>
        </w:rPr>
        <w:t>旺苍红军城</w:t>
      </w:r>
      <w:r>
        <w:rPr>
          <w:rFonts w:ascii="宋体" w:hAnsi="宋体"/>
          <w:bCs/>
        </w:rPr>
        <w:t>等文物古迹、</w:t>
      </w:r>
      <w:r>
        <w:rPr>
          <w:rFonts w:hint="eastAsia" w:ascii="宋体" w:hAnsi="宋体"/>
          <w:bCs/>
        </w:rPr>
        <w:t>省级历史文化名镇</w:t>
      </w:r>
      <w:r>
        <w:rPr>
          <w:rFonts w:ascii="宋体" w:hAnsi="宋体"/>
          <w:bCs/>
        </w:rPr>
        <w:t>木门镇及其他文物古迹等</w:t>
      </w:r>
      <w:r>
        <w:rPr>
          <w:rFonts w:hint="eastAsia" w:ascii="宋体" w:hAnsi="宋体"/>
          <w:bCs/>
        </w:rPr>
        <w:t>；</w:t>
      </w:r>
    </w:p>
    <w:p>
      <w:pPr>
        <w:ind w:firstLine="480"/>
      </w:pPr>
      <w:r>
        <w:rPr>
          <w:rFonts w:hint="eastAsia" w:ascii="宋体" w:hAnsi="宋体"/>
          <w:bCs/>
        </w:rPr>
        <w:t>三是与文化线路相关的传说、民俗等非物质要素的保护与传承，主要包括</w:t>
      </w:r>
      <w:r>
        <w:rPr>
          <w:rFonts w:hint="eastAsia"/>
        </w:rPr>
        <w:t>旺苍县第三批非物质文化遗产（木门赖茄宝、米仓山制茶工艺、旺苍土酸菜、木门流马制作工艺、木牛流马制作工艺、文氏中草药制作工艺、正月十六登高活动、荞子酒制作工艺、撵旱魃、东河石艺），以及其他旺苍县非物质文化遗产（市级旺苍高台舞狮、市级木门薅秧歌</w:t>
      </w:r>
      <w:r>
        <w:rPr>
          <w:rFonts w:hint="eastAsia" w:ascii="宋体" w:hAnsi="宋体"/>
          <w:kern w:val="0"/>
        </w:rPr>
        <w:t>、</w:t>
      </w:r>
      <w:r>
        <w:rPr>
          <w:rFonts w:hint="eastAsia"/>
        </w:rPr>
        <w:t>川北狮舞、旺苍农村婚嫁习俗、省级木门醪糟、旺苍小调、市级支溪古酒、川北薅草锣鼓、木门竹编、旺苍方言、旺苍三弦、省级）旺苍端公戏、木门乡香豆瓣、金钱板、旺苍刺绣、旺苍唢呐、鼓城根雕、旺苍农村祝寿礼仪、旺苍石雕、旺苍灯戏、旺苍棕编、红军歌谣）。</w:t>
      </w:r>
    </w:p>
    <w:p>
      <w:pPr>
        <w:pStyle w:val="62"/>
        <w:numPr>
          <w:ilvl w:val="0"/>
          <w:numId w:val="19"/>
        </w:numPr>
        <w:ind w:firstLineChars="0"/>
        <w:rPr>
          <w:rFonts w:hAnsi="宋体"/>
          <w:b/>
          <w:sz w:val="24"/>
          <w:szCs w:val="24"/>
        </w:rPr>
      </w:pPr>
      <w:r>
        <w:rPr>
          <w:rFonts w:hint="eastAsia" w:hAnsi="宋体"/>
          <w:b/>
          <w:sz w:val="24"/>
          <w:szCs w:val="24"/>
        </w:rPr>
        <w:t>保护要求</w:t>
      </w:r>
      <w:bookmarkEnd w:id="46"/>
    </w:p>
    <w:p>
      <w:pPr>
        <w:ind w:firstLine="482"/>
        <w:rPr>
          <w:b/>
          <w:u w:val="single"/>
        </w:rPr>
      </w:pPr>
      <w:r>
        <w:rPr>
          <w:rFonts w:hint="eastAsia"/>
          <w:b/>
          <w:u w:val="single"/>
        </w:rPr>
        <w:t>按照《四川省世界遗产保护条例（</w:t>
      </w:r>
      <w:r>
        <w:rPr>
          <w:b/>
          <w:u w:val="single"/>
        </w:rPr>
        <w:t>2016</w:t>
      </w:r>
      <w:r>
        <w:rPr>
          <w:rFonts w:hint="eastAsia"/>
          <w:b/>
          <w:u w:val="single"/>
        </w:rPr>
        <w:t>）》、《蜀道世界文化和自然遗产保护管理规划》保护米仓道（世界自然与文化双遗产提名）。</w:t>
      </w:r>
    </w:p>
    <w:p>
      <w:pPr>
        <w:ind w:firstLine="482"/>
        <w:rPr>
          <w:b/>
          <w:u w:val="single"/>
        </w:rPr>
      </w:pPr>
      <w:r>
        <w:rPr>
          <w:rFonts w:hint="eastAsia"/>
          <w:b/>
          <w:u w:val="single"/>
        </w:rPr>
        <w:t>米仓道的保护应与专项保护规划的要求一致。</w:t>
      </w:r>
    </w:p>
    <w:p>
      <w:pPr>
        <w:ind w:firstLine="480"/>
      </w:pPr>
      <w:r>
        <w:rPr>
          <w:rFonts w:hint="eastAsia"/>
        </w:rPr>
        <w:t>世界遗产保护范围，分为核心保护区、保护区、缓冲区。</w:t>
      </w:r>
    </w:p>
    <w:p>
      <w:pPr>
        <w:ind w:firstLine="482"/>
        <w:rPr>
          <w:b/>
          <w:u w:val="single"/>
        </w:rPr>
      </w:pPr>
      <w:r>
        <w:rPr>
          <w:rFonts w:hint="eastAsia"/>
          <w:b/>
          <w:u w:val="single"/>
        </w:rPr>
        <w:t>禁止在世界遗产保护范围内实施以下行为：</w:t>
      </w:r>
    </w:p>
    <w:p>
      <w:pPr>
        <w:ind w:firstLine="482"/>
        <w:rPr>
          <w:b/>
          <w:u w:val="single"/>
        </w:rPr>
      </w:pPr>
      <w:r>
        <w:rPr>
          <w:rFonts w:hint="eastAsia"/>
          <w:b/>
          <w:u w:val="single"/>
        </w:rPr>
        <w:t>（</w:t>
      </w:r>
      <w:r>
        <w:rPr>
          <w:b/>
          <w:u w:val="single"/>
        </w:rPr>
        <w:t>1</w:t>
      </w:r>
      <w:r>
        <w:rPr>
          <w:rFonts w:hint="eastAsia"/>
          <w:b/>
          <w:u w:val="single"/>
        </w:rPr>
        <w:t>）建设污染环境、破坏生态和造成水土流失的设施；</w:t>
      </w:r>
    </w:p>
    <w:p>
      <w:pPr>
        <w:ind w:firstLine="482"/>
        <w:rPr>
          <w:b/>
          <w:u w:val="single"/>
        </w:rPr>
      </w:pPr>
      <w:r>
        <w:rPr>
          <w:rFonts w:hint="eastAsia"/>
          <w:b/>
          <w:u w:val="single"/>
        </w:rPr>
        <w:t>（</w:t>
      </w:r>
      <w:r>
        <w:rPr>
          <w:b/>
          <w:u w:val="single"/>
        </w:rPr>
        <w:t>2</w:t>
      </w:r>
      <w:r>
        <w:rPr>
          <w:rFonts w:hint="eastAsia"/>
          <w:b/>
          <w:u w:val="single"/>
        </w:rPr>
        <w:t>）非法砍伐林木、猎捕野生动物、采挖野生植物；</w:t>
      </w:r>
    </w:p>
    <w:p>
      <w:pPr>
        <w:ind w:firstLine="482"/>
        <w:rPr>
          <w:b/>
          <w:u w:val="single"/>
        </w:rPr>
      </w:pPr>
      <w:r>
        <w:rPr>
          <w:rFonts w:hint="eastAsia"/>
          <w:b/>
          <w:u w:val="single"/>
        </w:rPr>
        <w:t>（</w:t>
      </w:r>
      <w:r>
        <w:rPr>
          <w:b/>
          <w:u w:val="single"/>
        </w:rPr>
        <w:t>3</w:t>
      </w:r>
      <w:r>
        <w:rPr>
          <w:rFonts w:hint="eastAsia"/>
          <w:b/>
          <w:u w:val="single"/>
        </w:rPr>
        <w:t>）在文物古迹、人文景物或者设施上刻划、涂污；</w:t>
      </w:r>
    </w:p>
    <w:p>
      <w:pPr>
        <w:ind w:firstLine="482"/>
        <w:rPr>
          <w:b/>
          <w:u w:val="single"/>
        </w:rPr>
      </w:pPr>
      <w:r>
        <w:rPr>
          <w:rFonts w:hint="eastAsia"/>
          <w:b/>
          <w:u w:val="single"/>
        </w:rPr>
        <w:t>（</w:t>
      </w:r>
      <w:r>
        <w:rPr>
          <w:b/>
          <w:u w:val="single"/>
        </w:rPr>
        <w:t>4</w:t>
      </w:r>
      <w:r>
        <w:rPr>
          <w:rFonts w:hint="eastAsia"/>
          <w:b/>
          <w:u w:val="single"/>
        </w:rPr>
        <w:t>）在世界遗产核心保护区、保护区范围内进行开山、采石、垦荒、开矿、取土等破坏地表、地貌的活动；</w:t>
      </w:r>
    </w:p>
    <w:p>
      <w:pPr>
        <w:ind w:firstLine="482"/>
        <w:rPr>
          <w:b/>
          <w:u w:val="single"/>
        </w:rPr>
      </w:pPr>
      <w:r>
        <w:rPr>
          <w:rFonts w:hint="eastAsia"/>
          <w:b/>
          <w:u w:val="single"/>
        </w:rPr>
        <w:t>（</w:t>
      </w:r>
      <w:r>
        <w:rPr>
          <w:b/>
          <w:u w:val="single"/>
        </w:rPr>
        <w:t>5</w:t>
      </w:r>
      <w:r>
        <w:rPr>
          <w:rFonts w:hint="eastAsia"/>
          <w:b/>
          <w:u w:val="single"/>
        </w:rPr>
        <w:t>）在世界遗产核心保护区、保护区范围内修建储存爆炸性、易燃性、放射性、毒害性、腐蚀性等物品设施；</w:t>
      </w:r>
    </w:p>
    <w:p>
      <w:pPr>
        <w:ind w:firstLine="482"/>
        <w:rPr>
          <w:b/>
          <w:u w:val="single"/>
        </w:rPr>
      </w:pPr>
      <w:r>
        <w:rPr>
          <w:rFonts w:hint="eastAsia"/>
          <w:b/>
          <w:u w:val="single"/>
        </w:rPr>
        <w:t>（</w:t>
      </w:r>
      <w:r>
        <w:rPr>
          <w:b/>
          <w:u w:val="single"/>
        </w:rPr>
        <w:t>6</w:t>
      </w:r>
      <w:r>
        <w:rPr>
          <w:rFonts w:hint="eastAsia"/>
          <w:b/>
          <w:u w:val="single"/>
        </w:rPr>
        <w:t>）在世界遗产核心保护区、保护区设立各类开发区、度假区；</w:t>
      </w:r>
    </w:p>
    <w:p>
      <w:pPr>
        <w:ind w:firstLine="482"/>
        <w:rPr>
          <w:b/>
          <w:u w:val="single"/>
        </w:rPr>
      </w:pPr>
      <w:r>
        <w:rPr>
          <w:rFonts w:hint="eastAsia"/>
          <w:b/>
          <w:u w:val="single"/>
        </w:rPr>
        <w:t>（</w:t>
      </w:r>
      <w:r>
        <w:rPr>
          <w:b/>
          <w:u w:val="single"/>
        </w:rPr>
        <w:t>7</w:t>
      </w:r>
      <w:r>
        <w:rPr>
          <w:rFonts w:hint="eastAsia"/>
          <w:b/>
          <w:u w:val="single"/>
        </w:rPr>
        <w:t>）在世界遗产核心保护区建设宾馆、招待所、疗养院及各类培训中心等建筑物、构筑物和其他设施；</w:t>
      </w:r>
    </w:p>
    <w:p>
      <w:pPr>
        <w:ind w:firstLine="482"/>
        <w:rPr>
          <w:b/>
          <w:u w:val="single"/>
        </w:rPr>
      </w:pPr>
      <w:r>
        <w:rPr>
          <w:rFonts w:hint="eastAsia"/>
          <w:b/>
          <w:u w:val="single"/>
        </w:rPr>
        <w:t>（</w:t>
      </w:r>
      <w:r>
        <w:rPr>
          <w:b/>
          <w:u w:val="single"/>
        </w:rPr>
        <w:t>8</w:t>
      </w:r>
      <w:r>
        <w:rPr>
          <w:rFonts w:hint="eastAsia"/>
          <w:b/>
          <w:u w:val="single"/>
        </w:rPr>
        <w:t>）在世界遗产保护区、缓冲区未经省人民政府世界遗产行政主管部门审核进行建设；</w:t>
      </w:r>
    </w:p>
    <w:p>
      <w:pPr>
        <w:ind w:firstLine="482"/>
      </w:pPr>
      <w:r>
        <w:rPr>
          <w:rFonts w:hint="eastAsia"/>
          <w:b/>
          <w:u w:val="single"/>
        </w:rPr>
        <w:t>（</w:t>
      </w:r>
      <w:r>
        <w:rPr>
          <w:b/>
          <w:u w:val="single"/>
        </w:rPr>
        <w:t>9</w:t>
      </w:r>
      <w:r>
        <w:rPr>
          <w:rFonts w:hint="eastAsia"/>
          <w:b/>
          <w:u w:val="single"/>
        </w:rPr>
        <w:t>）其他损害或者破坏世界遗产真实性和完整性的行为。</w:t>
      </w:r>
    </w:p>
    <w:p>
      <w:pPr>
        <w:pStyle w:val="76"/>
        <w:ind w:left="704"/>
        <w:rPr>
          <w:color w:val="auto"/>
        </w:rPr>
      </w:pPr>
      <w:bookmarkStart w:id="47" w:name="_Toc497180790"/>
      <w:bookmarkStart w:id="48" w:name="_Toc3889197"/>
      <w:r>
        <w:rPr>
          <w:rFonts w:hint="eastAsia"/>
          <w:color w:val="auto"/>
        </w:rPr>
        <w:t>历史</w:t>
      </w:r>
      <w:r>
        <w:rPr>
          <w:color w:val="auto"/>
        </w:rPr>
        <w:t>文化</w:t>
      </w:r>
      <w:r>
        <w:rPr>
          <w:rFonts w:hint="eastAsia"/>
          <w:color w:val="auto"/>
        </w:rPr>
        <w:t>名镇</w:t>
      </w:r>
      <w:r>
        <w:rPr>
          <w:color w:val="auto"/>
        </w:rPr>
        <w:t>保护</w:t>
      </w:r>
      <w:bookmarkEnd w:id="47"/>
      <w:r>
        <w:rPr>
          <w:rFonts w:hint="eastAsia"/>
          <w:color w:val="auto"/>
        </w:rPr>
        <w:t>引导</w:t>
      </w:r>
      <w:bookmarkEnd w:id="48"/>
    </w:p>
    <w:p>
      <w:pPr>
        <w:pStyle w:val="62"/>
        <w:numPr>
          <w:ilvl w:val="0"/>
          <w:numId w:val="20"/>
        </w:numPr>
        <w:ind w:firstLineChars="0"/>
        <w:rPr>
          <w:rFonts w:hAnsi="宋体"/>
          <w:b/>
          <w:sz w:val="24"/>
          <w:szCs w:val="24"/>
        </w:rPr>
      </w:pPr>
      <w:r>
        <w:rPr>
          <w:rFonts w:hint="eastAsia" w:hAnsi="宋体"/>
          <w:b/>
          <w:sz w:val="24"/>
          <w:szCs w:val="24"/>
        </w:rPr>
        <w:t>总体要求</w:t>
      </w:r>
    </w:p>
    <w:p>
      <w:pPr>
        <w:ind w:firstLine="480"/>
      </w:pPr>
      <w:r>
        <w:rPr>
          <w:rFonts w:hint="eastAsia"/>
        </w:rPr>
        <w:t>木门镇是省级历史文化名镇，规划要求木门镇按照《历史文化名城名镇名村保护条例（中华人民共和国国务院令第</w:t>
      </w:r>
      <w:r>
        <w:t>524</w:t>
      </w:r>
      <w:r>
        <w:rPr>
          <w:rFonts w:hint="eastAsia"/>
        </w:rPr>
        <w:t>号）》、《历史文化名城名镇名村保护规划编制要求》，统筹各项保护要素，加强历史文化名镇</w:t>
      </w:r>
      <w:r>
        <w:rPr>
          <w:rFonts w:hint="eastAsia" w:ascii="宋体" w:hAnsi="宋体"/>
        </w:rPr>
        <w:t>总体格局保护，传承和延续活态历史文化，尽快编制完成木门镇历史文化名镇保护规划。</w:t>
      </w:r>
    </w:p>
    <w:p>
      <w:pPr>
        <w:pStyle w:val="62"/>
        <w:numPr>
          <w:ilvl w:val="0"/>
          <w:numId w:val="20"/>
        </w:numPr>
        <w:ind w:firstLineChars="0"/>
        <w:rPr>
          <w:rFonts w:hAnsi="宋体"/>
          <w:b/>
          <w:sz w:val="24"/>
          <w:szCs w:val="24"/>
        </w:rPr>
      </w:pPr>
      <w:bookmarkStart w:id="49" w:name="_Toc497180793"/>
      <w:r>
        <w:rPr>
          <w:rFonts w:hint="eastAsia" w:hAnsi="宋体"/>
          <w:b/>
          <w:sz w:val="24"/>
          <w:szCs w:val="24"/>
        </w:rPr>
        <w:t>木门历史文化名镇保护</w:t>
      </w:r>
      <w:bookmarkEnd w:id="49"/>
      <w:r>
        <w:rPr>
          <w:rFonts w:hint="eastAsia" w:hAnsi="宋体"/>
          <w:b/>
          <w:sz w:val="24"/>
          <w:szCs w:val="24"/>
        </w:rPr>
        <w:t>区划</w:t>
      </w:r>
    </w:p>
    <w:p>
      <w:pPr>
        <w:pStyle w:val="80"/>
        <w:numPr>
          <w:ilvl w:val="0"/>
          <w:numId w:val="21"/>
        </w:numPr>
        <w:ind w:right="0" w:rightChars="0"/>
        <w:outlineLvl w:val="3"/>
      </w:pPr>
      <w:r>
        <w:rPr>
          <w:rFonts w:hint="eastAsia"/>
        </w:rPr>
        <w:t>保护区划</w:t>
      </w:r>
    </w:p>
    <w:p>
      <w:pPr>
        <w:ind w:firstLine="482"/>
        <w:rPr>
          <w:b/>
          <w:u w:val="single"/>
        </w:rPr>
      </w:pPr>
      <w:r>
        <w:rPr>
          <w:rFonts w:hint="eastAsia"/>
          <w:b/>
          <w:u w:val="single"/>
        </w:rPr>
        <w:t>核心保护范围：</w:t>
      </w:r>
      <w:r>
        <w:rPr>
          <w:rFonts w:hint="eastAsia"/>
        </w:rPr>
        <w:t>传统格局和历史风貌较为完整、历史建筑和传统风貌建筑集中成片的地区划为核心保护范围。</w:t>
      </w:r>
      <w:r>
        <w:rPr>
          <w:rFonts w:hint="eastAsia"/>
          <w:b/>
          <w:u w:val="single"/>
        </w:rPr>
        <w:t>即木门镇木门寺等文物保护单位、</w:t>
      </w:r>
      <w:r>
        <w:rPr>
          <w:b/>
          <w:u w:val="single"/>
        </w:rPr>
        <w:t>历史建筑</w:t>
      </w:r>
      <w:r>
        <w:rPr>
          <w:rFonts w:hint="eastAsia"/>
          <w:b/>
          <w:u w:val="single"/>
        </w:rPr>
        <w:t>的保护范围、木门古场镇传统街区</w:t>
      </w:r>
      <w:r>
        <w:rPr>
          <w:b/>
          <w:u w:val="single"/>
        </w:rPr>
        <w:t>的核心</w:t>
      </w:r>
      <w:r>
        <w:rPr>
          <w:rFonts w:hint="eastAsia"/>
          <w:b/>
          <w:u w:val="single"/>
        </w:rPr>
        <w:t>区域。</w:t>
      </w:r>
    </w:p>
    <w:p>
      <w:pPr>
        <w:ind w:firstLine="482"/>
        <w:rPr>
          <w:b/>
          <w:u w:val="single"/>
        </w:rPr>
      </w:pPr>
      <w:r>
        <w:rPr>
          <w:rFonts w:hint="eastAsia"/>
          <w:b/>
          <w:u w:val="single"/>
        </w:rPr>
        <w:t>建设控制地带范围：以核心保护范围为中心的约</w:t>
      </w:r>
      <w:r>
        <w:rPr>
          <w:b/>
          <w:u w:val="single"/>
        </w:rPr>
        <w:t>300</w:t>
      </w:r>
      <w:r>
        <w:rPr>
          <w:rFonts w:hint="eastAsia"/>
          <w:b/>
          <w:u w:val="single"/>
        </w:rPr>
        <w:t>米范围内。木门老街从团结大桥起往东面的木门粮库，全长约</w:t>
      </w:r>
      <w:r>
        <w:rPr>
          <w:b/>
          <w:u w:val="single"/>
        </w:rPr>
        <w:t>500</w:t>
      </w:r>
      <w:r>
        <w:rPr>
          <w:rFonts w:hint="eastAsia"/>
          <w:b/>
          <w:u w:val="single"/>
        </w:rPr>
        <w:t>米。</w:t>
      </w:r>
    </w:p>
    <w:p>
      <w:pPr>
        <w:ind w:firstLine="480"/>
      </w:pPr>
      <w:r>
        <w:rPr>
          <w:rFonts w:hint="eastAsia"/>
        </w:rPr>
        <w:t>风貌协调区范围：以古迹点为中心的</w:t>
      </w:r>
      <w:r>
        <w:t>300—500</w:t>
      </w:r>
      <w:r>
        <w:rPr>
          <w:rFonts w:hint="eastAsia"/>
        </w:rPr>
        <w:t>米范围。木门镇团结大桥以北和木门新街、东凡中学及以东的用地，多为近年传统街区改建，相连部分，既有老街的影子，又有现代建筑的风格，属于传统街区与发展区的过渡地带。</w:t>
      </w:r>
    </w:p>
    <w:p>
      <w:pPr>
        <w:pStyle w:val="80"/>
        <w:numPr>
          <w:ilvl w:val="0"/>
          <w:numId w:val="21"/>
        </w:numPr>
        <w:ind w:right="0" w:rightChars="0"/>
        <w:outlineLvl w:val="3"/>
      </w:pPr>
      <w:r>
        <w:rPr>
          <w:rFonts w:hint="eastAsia"/>
        </w:rPr>
        <w:t>保护措施</w:t>
      </w:r>
    </w:p>
    <w:p>
      <w:pPr>
        <w:ind w:firstLine="482"/>
        <w:rPr>
          <w:b/>
          <w:u w:val="single"/>
        </w:rPr>
      </w:pPr>
      <w:r>
        <w:rPr>
          <w:rFonts w:hint="eastAsia"/>
          <w:b/>
          <w:u w:val="single"/>
        </w:rPr>
        <w:t>严格按照《历史文化名城名镇名村保护条例》和《文物保护法》进行保护。</w:t>
      </w:r>
    </w:p>
    <w:p>
      <w:pPr>
        <w:ind w:firstLine="480"/>
      </w:pPr>
      <w:r>
        <w:rPr>
          <w:rFonts w:hint="eastAsia"/>
        </w:rPr>
        <w:t>不得拆除和破坏木门会议旧址等文物保护单位、历史建筑、传统风貌建筑以及其他历史环境要素，与历史风貌有冲突的建筑，采取适当措施，使之与核心保护范围内的历史风貌相协调。保持建筑体量、造型、用材、色彩及装修的传统性。</w:t>
      </w:r>
    </w:p>
    <w:p>
      <w:pPr>
        <w:ind w:firstLine="480"/>
      </w:pPr>
      <w:r>
        <w:rPr>
          <w:rFonts w:hint="eastAsia"/>
        </w:rPr>
        <w:t>保护传统空间格局、传统肌理与街巷格局。保护木门古镇周边的山水形胜自然生态格局。保护非物质文化遗产与优秀传统文化。</w:t>
      </w:r>
    </w:p>
    <w:p>
      <w:pPr>
        <w:pStyle w:val="76"/>
        <w:ind w:left="704"/>
        <w:rPr>
          <w:color w:val="auto"/>
        </w:rPr>
      </w:pPr>
      <w:bookmarkStart w:id="50" w:name="_Toc497180794"/>
      <w:bookmarkStart w:id="51" w:name="_Toc3889198"/>
      <w:r>
        <w:rPr>
          <w:color w:val="auto"/>
        </w:rPr>
        <w:t>传统</w:t>
      </w:r>
      <w:r>
        <w:rPr>
          <w:rFonts w:hint="eastAsia"/>
          <w:color w:val="auto"/>
        </w:rPr>
        <w:t>村落</w:t>
      </w:r>
      <w:r>
        <w:rPr>
          <w:color w:val="auto"/>
        </w:rPr>
        <w:t>保护</w:t>
      </w:r>
      <w:bookmarkEnd w:id="50"/>
      <w:bookmarkEnd w:id="51"/>
    </w:p>
    <w:p>
      <w:pPr>
        <w:pStyle w:val="62"/>
        <w:numPr>
          <w:ilvl w:val="0"/>
          <w:numId w:val="22"/>
        </w:numPr>
        <w:ind w:firstLineChars="0"/>
        <w:rPr>
          <w:rFonts w:hAnsi="宋体"/>
          <w:b/>
          <w:sz w:val="24"/>
          <w:szCs w:val="24"/>
        </w:rPr>
      </w:pPr>
      <w:r>
        <w:rPr>
          <w:rFonts w:hint="eastAsia" w:hAnsi="宋体"/>
          <w:b/>
          <w:sz w:val="24"/>
          <w:szCs w:val="24"/>
        </w:rPr>
        <w:t>保护内容及要求</w:t>
      </w:r>
    </w:p>
    <w:p>
      <w:pPr>
        <w:ind w:firstLine="482"/>
      </w:pPr>
      <w:r>
        <w:rPr>
          <w:rFonts w:hint="eastAsia"/>
          <w:b/>
          <w:u w:val="single"/>
        </w:rPr>
        <w:t>严格保护旺苍县4个第四批中国传统村落（东河镇东郊村、福庆乡农经村、化龙乡石川村、化龙乡亭子村），11个省级传统村落， 2个</w:t>
      </w:r>
      <w:r>
        <w:rPr>
          <w:b/>
          <w:u w:val="single"/>
        </w:rPr>
        <w:t>市级传统村落</w:t>
      </w:r>
      <w:r>
        <w:rPr>
          <w:rFonts w:hint="eastAsia"/>
        </w:rPr>
        <w:t>（</w:t>
      </w:r>
      <w:r>
        <w:fldChar w:fldCharType="begin"/>
      </w:r>
      <w:r>
        <w:instrText xml:space="preserve">REF _Ref481055606 \h  \* MERGEFORMAT </w:instrText>
      </w:r>
      <w:r>
        <w:fldChar w:fldCharType="separate"/>
      </w:r>
      <w:r>
        <w:rPr>
          <w:rFonts w:hint="eastAsia"/>
        </w:rPr>
        <w:t>表格</w:t>
      </w:r>
      <w:r>
        <w:t>1</w:t>
      </w:r>
      <w:r>
        <w:fldChar w:fldCharType="end"/>
      </w:r>
      <w:r>
        <w:t>）</w:t>
      </w:r>
      <w:r>
        <w:rPr>
          <w:rFonts w:hint="eastAsia"/>
        </w:rPr>
        <w:t>。</w:t>
      </w:r>
      <w:r>
        <w:rPr>
          <w:rFonts w:hint="eastAsia" w:ascii="宋体" w:hAnsi="宋体"/>
          <w:b/>
          <w:u w:val="single"/>
        </w:rPr>
        <w:t>条件较好的传统村落建议申报历史文化名村。</w:t>
      </w:r>
      <w:r>
        <w:rPr>
          <w:rFonts w:hint="eastAsia"/>
          <w:b/>
          <w:u w:val="single"/>
        </w:rPr>
        <w:t>编制</w:t>
      </w:r>
      <w:r>
        <w:rPr>
          <w:b/>
          <w:u w:val="single"/>
        </w:rPr>
        <w:t>《</w:t>
      </w:r>
      <w:r>
        <w:rPr>
          <w:rFonts w:hint="eastAsia"/>
          <w:b/>
          <w:u w:val="single"/>
        </w:rPr>
        <w:t>传统村落</w:t>
      </w:r>
      <w:r>
        <w:rPr>
          <w:b/>
          <w:u w:val="single"/>
        </w:rPr>
        <w:t>保护</w:t>
      </w:r>
      <w:r>
        <w:rPr>
          <w:rFonts w:hint="eastAsia"/>
          <w:b/>
          <w:u w:val="single"/>
        </w:rPr>
        <w:t>与</w:t>
      </w:r>
      <w:r>
        <w:rPr>
          <w:b/>
          <w:u w:val="single"/>
        </w:rPr>
        <w:t>发展规划》</w:t>
      </w:r>
      <w:r>
        <w:rPr>
          <w:rFonts w:hint="eastAsia"/>
          <w:b/>
          <w:u w:val="single"/>
        </w:rPr>
        <w:t>。调查村落传统资源，建立传统村落档案，确定保护对象，划定保护范围并制订保护管理规定，</w:t>
      </w:r>
      <w:r>
        <w:rPr>
          <w:rFonts w:hint="eastAsia"/>
        </w:rPr>
        <w:t>保护传统资源，改善村落人居环境，</w:t>
      </w:r>
      <w:r>
        <w:t>引导传统村落发展。</w:t>
      </w:r>
    </w:p>
    <w:p>
      <w:pPr>
        <w:pStyle w:val="13"/>
        <w:keepNext/>
        <w:ind w:firstLine="400"/>
      </w:pPr>
      <w:bookmarkStart w:id="52" w:name="_Ref481055606"/>
      <w:r>
        <w:rPr>
          <w:rFonts w:hint="eastAsia"/>
        </w:rPr>
        <w:t>表格</w:t>
      </w:r>
      <w:r>
        <w:fldChar w:fldCharType="begin"/>
      </w:r>
      <w:r>
        <w:rPr>
          <w:rFonts w:hint="eastAsia"/>
        </w:rPr>
        <w:instrText xml:space="preserve">SEQ 表格 \* ARABIC</w:instrText>
      </w:r>
      <w:r>
        <w:fldChar w:fldCharType="separate"/>
      </w:r>
      <w:r>
        <w:t>1</w:t>
      </w:r>
      <w:r>
        <w:fldChar w:fldCharType="end"/>
      </w:r>
      <w:bookmarkEnd w:id="52"/>
      <w:r>
        <w:rPr>
          <w:rFonts w:hint="eastAsia"/>
        </w:rPr>
        <w:t>旺苍县中国传统村落及拟申请市级传统村落名单</w:t>
      </w:r>
    </w:p>
    <w:tbl>
      <w:tblPr>
        <w:tblStyle w:val="36"/>
        <w:tblW w:w="9640" w:type="dxa"/>
        <w:jc w:val="center"/>
        <w:tblLayout w:type="autofit"/>
        <w:tblCellMar>
          <w:top w:w="0" w:type="dxa"/>
          <w:left w:w="108" w:type="dxa"/>
          <w:bottom w:w="0" w:type="dxa"/>
          <w:right w:w="108" w:type="dxa"/>
        </w:tblCellMar>
      </w:tblPr>
      <w:tblGrid>
        <w:gridCol w:w="2740"/>
        <w:gridCol w:w="1260"/>
        <w:gridCol w:w="2260"/>
        <w:gridCol w:w="3380"/>
      </w:tblGrid>
      <w:tr>
        <w:tblPrEx>
          <w:tblCellMar>
            <w:top w:w="0" w:type="dxa"/>
            <w:left w:w="108" w:type="dxa"/>
            <w:bottom w:w="0" w:type="dxa"/>
            <w:right w:w="108" w:type="dxa"/>
          </w:tblCellMar>
        </w:tblPrEx>
        <w:trPr>
          <w:trHeight w:val="390" w:hRule="atLeast"/>
          <w:tblHeader/>
          <w:jc w:val="center"/>
        </w:trPr>
        <w:tc>
          <w:tcPr>
            <w:tcW w:w="2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482" w:firstLineChars="0"/>
              <w:jc w:val="center"/>
              <w:rPr>
                <w:rFonts w:ascii="宋体" w:hAnsi="宋体" w:eastAsia="宋体" w:cs="宋体"/>
                <w:b/>
                <w:bCs/>
                <w:kern w:val="0"/>
              </w:rPr>
            </w:pPr>
            <w:bookmarkStart w:id="53" w:name="_Toc480205991"/>
            <w:r>
              <w:rPr>
                <w:rFonts w:hint="eastAsia" w:ascii="宋体" w:hAnsi="宋体" w:eastAsia="宋体" w:cs="宋体"/>
                <w:b/>
                <w:bCs/>
                <w:kern w:val="0"/>
              </w:rPr>
              <w:t>类型</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等级</w:t>
            </w:r>
          </w:p>
        </w:tc>
        <w:tc>
          <w:tcPr>
            <w:tcW w:w="226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地址</w:t>
            </w:r>
          </w:p>
        </w:tc>
        <w:tc>
          <w:tcPr>
            <w:tcW w:w="33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b/>
                <w:bCs/>
                <w:kern w:val="0"/>
              </w:rPr>
            </w:pPr>
            <w:r>
              <w:rPr>
                <w:rFonts w:ascii="宋体" w:hAnsi="宋体" w:eastAsia="宋体" w:cs="宋体"/>
                <w:b/>
                <w:bCs/>
                <w:kern w:val="0"/>
              </w:rPr>
              <w:t>公布批次</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旺苍县东河镇东郊村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第四批中国传统村落名录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旺苍县福庆乡农经村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第四批中国传统村落名录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旺苍县化龙乡石川村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第四批中国传统村落名录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旺苍县化龙乡亭子村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第四批中国传统村落名录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旺苍县大两乡德山村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旺苍县大两乡永星村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旺苍县高阳镇双午村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旺苍县化龙乡油树村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旺苍县木门镇木门场</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旺苍县木门镇青龙村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旺苍县水磨乡桥板村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旺苍县水磨乡群花村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旺苍县万家乡西陵村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旺苍县万山乡蒙溪村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旺苍县正源乡辕门村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第三批传统村落名录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市级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旺苍县木门镇天星村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第二批市级传统村落名单</w:t>
            </w:r>
          </w:p>
        </w:tc>
      </w:tr>
      <w:tr>
        <w:tblPrEx>
          <w:tblCellMar>
            <w:top w:w="0" w:type="dxa"/>
            <w:left w:w="108" w:type="dxa"/>
            <w:bottom w:w="0" w:type="dxa"/>
            <w:right w:w="108" w:type="dxa"/>
          </w:tblCellMar>
        </w:tblPrEx>
        <w:trPr>
          <w:trHeight w:val="270" w:hRule="atLeast"/>
          <w:jc w:val="center"/>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市级</w:t>
            </w:r>
          </w:p>
        </w:tc>
        <w:tc>
          <w:tcPr>
            <w:tcW w:w="226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旺苍县水磨乡火花村</w:t>
            </w:r>
          </w:p>
        </w:tc>
        <w:tc>
          <w:tcPr>
            <w:tcW w:w="3380"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第二批市级传统村落名单</w:t>
            </w:r>
          </w:p>
        </w:tc>
      </w:tr>
    </w:tbl>
    <w:p>
      <w:pPr>
        <w:ind w:firstLine="0" w:firstLineChars="0"/>
      </w:pPr>
    </w:p>
    <w:p>
      <w:pPr>
        <w:pStyle w:val="62"/>
        <w:numPr>
          <w:ilvl w:val="0"/>
          <w:numId w:val="22"/>
        </w:numPr>
        <w:ind w:firstLineChars="0"/>
        <w:rPr>
          <w:rFonts w:hAnsi="宋体"/>
          <w:b/>
          <w:sz w:val="24"/>
          <w:szCs w:val="24"/>
        </w:rPr>
      </w:pPr>
      <w:bookmarkStart w:id="54" w:name="_Toc497180797"/>
      <w:r>
        <w:rPr>
          <w:rFonts w:hint="eastAsia" w:hAnsi="宋体"/>
          <w:b/>
          <w:sz w:val="24"/>
          <w:szCs w:val="24"/>
        </w:rPr>
        <w:t>保护要求及措施</w:t>
      </w:r>
      <w:bookmarkEnd w:id="54"/>
    </w:p>
    <w:p>
      <w:pPr>
        <w:ind w:firstLine="480"/>
      </w:pPr>
      <w:r>
        <w:rPr>
          <w:rFonts w:hint="eastAsia"/>
        </w:rPr>
        <w:t>（1）整体保护传统村落</w:t>
      </w:r>
      <w:bookmarkEnd w:id="53"/>
      <w:r>
        <w:rPr>
          <w:rFonts w:hint="eastAsia"/>
        </w:rPr>
        <w:t>。</w:t>
      </w:r>
    </w:p>
    <w:p>
      <w:pPr>
        <w:ind w:firstLine="480"/>
      </w:pPr>
      <w:r>
        <w:rPr>
          <w:rFonts w:hint="eastAsia"/>
        </w:rPr>
        <w:t>（2）调查村落传统资源，建立传统村落档案。编制《传统村落保护与发展规划》。确定保护对象，划定保护范围并制订保护管理规定。</w:t>
      </w:r>
    </w:p>
    <w:p>
      <w:pPr>
        <w:ind w:firstLine="480"/>
      </w:pPr>
      <w:r>
        <w:rPr>
          <w:rFonts w:hint="eastAsia"/>
        </w:rPr>
        <w:t>（</w:t>
      </w:r>
      <w:r>
        <w:t>3</w:t>
      </w:r>
      <w:r>
        <w:rPr>
          <w:rFonts w:hint="eastAsia"/>
        </w:rPr>
        <w:t>）确定传统资源保护对象，对各类各项传统资源分类分级进行保护。</w:t>
      </w:r>
    </w:p>
    <w:p>
      <w:pPr>
        <w:ind w:firstLine="480"/>
      </w:pPr>
      <w:r>
        <w:rPr>
          <w:rFonts w:hint="eastAsia"/>
        </w:rPr>
        <w:t>（</w:t>
      </w:r>
      <w:r>
        <w:t>4</w:t>
      </w:r>
      <w:r>
        <w:rPr>
          <w:rFonts w:hint="eastAsia"/>
        </w:rPr>
        <w:t>）保护村落自然景观环境，提出景观和生态修复措施，以及整改办法。</w:t>
      </w:r>
    </w:p>
    <w:p>
      <w:pPr>
        <w:ind w:firstLine="480"/>
      </w:pPr>
      <w:r>
        <w:rPr>
          <w:rFonts w:hint="eastAsia"/>
        </w:rPr>
        <w:t>（</w:t>
      </w:r>
      <w:r>
        <w:t>5</w:t>
      </w:r>
      <w:r>
        <w:rPr>
          <w:rFonts w:hint="eastAsia"/>
        </w:rPr>
        <w:t>）保护村落传统格局与整体风貌，保护村落传统形态、公共空间和景观视廊等。</w:t>
      </w:r>
    </w:p>
    <w:p>
      <w:pPr>
        <w:ind w:firstLine="480"/>
      </w:pPr>
      <w:r>
        <w:rPr>
          <w:rFonts w:hint="eastAsia"/>
        </w:rPr>
        <w:t>（</w:t>
      </w:r>
      <w:r>
        <w:t>6</w:t>
      </w:r>
      <w:r>
        <w:rPr>
          <w:rFonts w:hint="eastAsia"/>
        </w:rPr>
        <w:t>）严格保护村落内</w:t>
      </w:r>
      <w:r>
        <w:t>留存的</w:t>
      </w:r>
      <w:r>
        <w:rPr>
          <w:rFonts w:hint="eastAsia"/>
        </w:rPr>
        <w:t>文物</w:t>
      </w:r>
      <w:r>
        <w:t>古迹</w:t>
      </w:r>
      <w:r>
        <w:rPr>
          <w:rFonts w:hint="eastAsia"/>
        </w:rPr>
        <w:t>、有历史文化价值建（构）筑物</w:t>
      </w:r>
      <w:r>
        <w:t>，</w:t>
      </w:r>
      <w:r>
        <w:rPr>
          <w:rFonts w:hint="eastAsia"/>
        </w:rPr>
        <w:t>控制新建</w:t>
      </w:r>
      <w:r>
        <w:t>建筑</w:t>
      </w:r>
      <w:r>
        <w:rPr>
          <w:rFonts w:hint="eastAsia"/>
        </w:rPr>
        <w:t>风格体量，延续传统风貌特色，与历史建筑、</w:t>
      </w:r>
      <w:r>
        <w:t>历史环境</w:t>
      </w:r>
      <w:r>
        <w:rPr>
          <w:rFonts w:hint="eastAsia"/>
        </w:rPr>
        <w:t>相协调。</w:t>
      </w:r>
    </w:p>
    <w:p>
      <w:pPr>
        <w:ind w:firstLine="480"/>
      </w:pPr>
      <w:r>
        <w:rPr>
          <w:rFonts w:hint="eastAsia"/>
        </w:rPr>
        <w:t>（</w:t>
      </w:r>
      <w:r>
        <w:t>7</w:t>
      </w:r>
      <w:r>
        <w:rPr>
          <w:rFonts w:hint="eastAsia"/>
        </w:rPr>
        <w:t>）</w:t>
      </w:r>
      <w:r>
        <w:rPr>
          <w:rFonts w:hint="eastAsia" w:ascii="宋体" w:hAnsi="宋体"/>
        </w:rPr>
        <w:t>活态传承传统村落的生产和生活。</w:t>
      </w:r>
      <w:r>
        <w:rPr>
          <w:rFonts w:hint="eastAsia"/>
        </w:rPr>
        <w:t>保护传承非物质文化遗产，提出对非物质文化遗产的传承人、场所与线路、有关实物与相关原材料的保护要求与措施，以及管理与扶持、研究与宣教等的规定与措施。</w:t>
      </w:r>
    </w:p>
    <w:p>
      <w:pPr>
        <w:pStyle w:val="62"/>
        <w:numPr>
          <w:ilvl w:val="0"/>
          <w:numId w:val="22"/>
        </w:numPr>
        <w:ind w:firstLineChars="0"/>
        <w:rPr>
          <w:rFonts w:hAnsi="宋体"/>
          <w:b/>
          <w:sz w:val="24"/>
          <w:szCs w:val="24"/>
        </w:rPr>
      </w:pPr>
      <w:bookmarkStart w:id="55" w:name="_Toc497180799"/>
      <w:r>
        <w:rPr>
          <w:rFonts w:hint="eastAsia" w:hAnsi="宋体"/>
          <w:b/>
          <w:sz w:val="24"/>
          <w:szCs w:val="24"/>
        </w:rPr>
        <w:t>建议申报和补充名录</w:t>
      </w:r>
      <w:bookmarkEnd w:id="55"/>
    </w:p>
    <w:p>
      <w:pPr>
        <w:ind w:firstLine="480"/>
      </w:pPr>
      <w:r>
        <w:rPr>
          <w:rFonts w:hint="eastAsia"/>
        </w:rPr>
        <w:t>建议燕子乡金银村申请为市级传统村落。</w:t>
      </w:r>
    </w:p>
    <w:p>
      <w:pPr>
        <w:pStyle w:val="76"/>
        <w:ind w:left="704"/>
        <w:rPr>
          <w:color w:val="auto"/>
        </w:rPr>
      </w:pPr>
      <w:bookmarkStart w:id="56" w:name="_Toc3889199"/>
      <w:r>
        <w:rPr>
          <w:rFonts w:hint="eastAsia"/>
          <w:color w:val="auto"/>
        </w:rPr>
        <w:t>县域文物古迹保护</w:t>
      </w:r>
      <w:bookmarkEnd w:id="56"/>
    </w:p>
    <w:p>
      <w:pPr>
        <w:ind w:firstLine="480"/>
      </w:pPr>
      <w:r>
        <w:rPr>
          <w:rFonts w:hint="eastAsia"/>
        </w:rPr>
        <w:t>保护旺苍县域内省级不可移动文物（含文物保护单位）16处，市级不可移动文物8处，县级不可移动文物37处，未定级不可移动文物29处，建议申报的3处历史建筑，若干传统风貌建筑，及其他历史文化资源（地下文物、古树名木等）。具体要求见第八章。</w:t>
      </w:r>
    </w:p>
    <w:p>
      <w:pPr>
        <w:pStyle w:val="76"/>
        <w:ind w:left="704"/>
        <w:rPr>
          <w:color w:val="auto"/>
        </w:rPr>
      </w:pPr>
      <w:bookmarkStart w:id="57" w:name="_Toc3889200"/>
      <w:r>
        <w:rPr>
          <w:color w:val="auto"/>
        </w:rPr>
        <w:t>自然山水环境保护</w:t>
      </w:r>
      <w:bookmarkEnd w:id="57"/>
    </w:p>
    <w:p>
      <w:pPr>
        <w:ind w:firstLine="480"/>
      </w:pPr>
      <w:r>
        <w:rPr>
          <w:rFonts w:hint="eastAsia"/>
        </w:rPr>
        <w:t>保护旺苍县4条主要水系：西河流域、白水河流域、东河流域、渠江水系，保护体现古代城池选址山水格局的重要山体，保护作为城市重要景观背景和城址环境的山、水景观。</w:t>
      </w:r>
    </w:p>
    <w:p>
      <w:pPr>
        <w:ind w:firstLine="482"/>
      </w:pPr>
      <w:r>
        <w:rPr>
          <w:rFonts w:hint="eastAsia"/>
          <w:b/>
          <w:u w:val="single"/>
        </w:rPr>
        <w:t>水环境保护：严格按照《中华人民共和国</w:t>
      </w:r>
      <w:bookmarkStart w:id="164" w:name="_GoBack"/>
      <w:bookmarkEnd w:id="164"/>
      <w:r>
        <w:rPr>
          <w:rFonts w:hint="eastAsia"/>
          <w:b/>
          <w:u w:val="single"/>
        </w:rPr>
        <w:t>环境保护法》等相关法律，保护水质环境。</w:t>
      </w:r>
      <w:r>
        <w:rPr>
          <w:rFonts w:hint="eastAsia"/>
        </w:rPr>
        <w:t>严格保护汉王山东河湿地省级自然保护区。利用西河、东河等丰富的上游水资源，发展水电业；加强沿河流域综合治理，即以坡耕地治理为中心，绿化荒山和退耕还草，治理退化草地，坡耕地改梯地，开发种植野生植物，减少水土流失面积，保护生态资源。</w:t>
      </w:r>
    </w:p>
    <w:p>
      <w:pPr>
        <w:ind w:firstLine="482"/>
        <w:rPr>
          <w:b/>
          <w:u w:val="single"/>
        </w:rPr>
      </w:pPr>
      <w:r>
        <w:rPr>
          <w:rFonts w:hint="eastAsia"/>
          <w:b/>
          <w:u w:val="single"/>
        </w:rPr>
        <w:t>山体保护：严格按照《森林法》、《森林法实施条例》、《旺苍县林地保护利用规划（</w:t>
      </w:r>
      <w:r>
        <w:rPr>
          <w:b/>
          <w:u w:val="single"/>
        </w:rPr>
        <w:t>2010-2020</w:t>
      </w:r>
      <w:r>
        <w:rPr>
          <w:rFonts w:hint="eastAsia"/>
          <w:b/>
          <w:u w:val="single"/>
        </w:rPr>
        <w:t>年）》制定保护措施。</w:t>
      </w:r>
    </w:p>
    <w:p>
      <w:pPr>
        <w:ind w:firstLine="480"/>
      </w:pPr>
      <w:r>
        <w:rPr>
          <w:rFonts w:hint="eastAsia"/>
        </w:rPr>
        <w:t>Ⅰ级林地保护区域保护措施：实行最严格保护。完全保持自然状态，实行全面封禁，禁止人为干扰和开展一切生产经营活动，禁止改变林地用途。</w:t>
      </w:r>
    </w:p>
    <w:p>
      <w:pPr>
        <w:ind w:firstLine="480"/>
      </w:pPr>
      <w:r>
        <w:rPr>
          <w:rFonts w:hint="eastAsia"/>
        </w:rPr>
        <w:t>Ⅱ级林地保护区域保护措施：局部封禁管护，鼓励和引导抚育性管理，禁止商业性采伐。除必需的工程建设占用外，不得以其他任何方式改变林地用途，禁止建设工程占用森林，其他地类严格控制。</w:t>
      </w:r>
    </w:p>
    <w:p>
      <w:pPr>
        <w:ind w:firstLine="480"/>
      </w:pPr>
      <w:r>
        <w:rPr>
          <w:rFonts w:hint="eastAsia"/>
        </w:rPr>
        <w:t>Ⅲ级保护管理措施：严格控制征占用森林。适度保障能源、交通、水利等基础设施和城乡建设用地，从严控制商业性经营设施建设用地，限制勘查、开采矿藏和其他项目用地。</w:t>
      </w:r>
    </w:p>
    <w:p>
      <w:pPr>
        <w:ind w:firstLine="480"/>
        <w:rPr>
          <w:strike/>
        </w:rPr>
      </w:pPr>
      <w:r>
        <w:rPr>
          <w:rFonts w:hint="eastAsia"/>
        </w:rPr>
        <w:t>Ⅳ级保护管理措施：严格控制林地非法转用和逆转，限制采石取土等用地。推行集约经营、农林复合经营，在法律允许的范围内合理安排各类生产活动，最大限度地挖掘林地生产力。</w:t>
      </w:r>
    </w:p>
    <w:p>
      <w:pPr>
        <w:pStyle w:val="76"/>
        <w:ind w:left="704"/>
        <w:rPr>
          <w:color w:val="auto"/>
        </w:rPr>
      </w:pPr>
      <w:bookmarkStart w:id="58" w:name="_Toc3889201"/>
      <w:r>
        <w:rPr>
          <w:color w:val="auto"/>
        </w:rPr>
        <w:t>风景名胜区保护</w:t>
      </w:r>
      <w:bookmarkEnd w:id="58"/>
    </w:p>
    <w:p>
      <w:pPr>
        <w:ind w:firstLine="480"/>
      </w:pPr>
      <w:r>
        <w:rPr>
          <w:rFonts w:hint="eastAsia"/>
        </w:rPr>
        <w:t>保护旺苍县域</w:t>
      </w:r>
      <w:r>
        <w:t>汉王山</w:t>
      </w:r>
      <w:r>
        <w:rPr>
          <w:rFonts w:hint="eastAsia"/>
        </w:rPr>
        <w:t>风景区</w:t>
      </w:r>
      <w:r>
        <w:t>、</w:t>
      </w:r>
      <w:r>
        <w:rPr>
          <w:rFonts w:hint="eastAsia"/>
        </w:rPr>
        <w:t>鼓城山</w:t>
      </w:r>
      <w:r>
        <w:t>-</w:t>
      </w:r>
      <w:r>
        <w:rPr>
          <w:rFonts w:hint="eastAsia"/>
        </w:rPr>
        <w:t>七里峡</w:t>
      </w:r>
      <w:r>
        <w:t>省级风景名胜区</w:t>
      </w:r>
      <w:r>
        <w:rPr>
          <w:rFonts w:hint="eastAsia"/>
        </w:rPr>
        <w:t>、</w:t>
      </w:r>
      <w:r>
        <w:t>苍王</w:t>
      </w:r>
      <w:r>
        <w:rPr>
          <w:rFonts w:hint="eastAsia"/>
        </w:rPr>
        <w:t>峡地质生态</w:t>
      </w:r>
      <w:r>
        <w:t>景区</w:t>
      </w:r>
      <w:r>
        <w:rPr>
          <w:rFonts w:hint="eastAsia"/>
        </w:rPr>
        <w:t>（即米仓山</w:t>
      </w:r>
      <w:r>
        <w:t>大峡谷自然保护区）</w:t>
      </w:r>
      <w:r>
        <w:rPr>
          <w:rFonts w:hint="eastAsia"/>
        </w:rPr>
        <w:t>。</w:t>
      </w:r>
    </w:p>
    <w:p>
      <w:pPr>
        <w:ind w:firstLine="482"/>
        <w:rPr>
          <w:b/>
          <w:u w:val="single"/>
        </w:rPr>
      </w:pPr>
      <w:r>
        <w:rPr>
          <w:rFonts w:hint="eastAsia"/>
          <w:b/>
          <w:u w:val="single"/>
        </w:rPr>
        <w:t>严格按照《风景名胜区管理条例》、《四川省风景名胜区条例》对风景名胜区实施管控。风景名胜区内的文物古迹按《中华人民共和国文物保护法》与各自文物保护单位保护规划执行，保护风景名胜区内重要的遗产资源。</w:t>
      </w:r>
    </w:p>
    <w:p>
      <w:pPr>
        <w:ind w:firstLine="480"/>
      </w:pPr>
      <w:r>
        <w:rPr>
          <w:rFonts w:hint="eastAsia"/>
        </w:rPr>
        <w:t>严格落实依法审批的《鼓城山—七里峡风景名胜区总体规划》、《旺苍汉王山风景名胜区鹿亭温泉旅游接待区控制性详细规划》、《四川省旺苍县龙潭子地质生态风景区总体规划（2006-2020）》）中对于景区保护和利用的要求，严格保护历史文化资源，适度开发旅游。</w:t>
      </w:r>
    </w:p>
    <w:p>
      <w:pPr>
        <w:pStyle w:val="76"/>
        <w:ind w:left="704"/>
        <w:rPr>
          <w:color w:val="auto"/>
        </w:rPr>
      </w:pPr>
      <w:bookmarkStart w:id="59" w:name="_Toc3889202"/>
      <w:r>
        <w:rPr>
          <w:color w:val="auto"/>
        </w:rPr>
        <w:t>自然保护区</w:t>
      </w:r>
      <w:bookmarkEnd w:id="59"/>
    </w:p>
    <w:p>
      <w:pPr>
        <w:ind w:firstLine="480"/>
      </w:pPr>
      <w:r>
        <w:rPr>
          <w:rFonts w:hint="eastAsia"/>
        </w:rPr>
        <w:t>保护旺苍县域</w:t>
      </w:r>
      <w:r>
        <w:t>米仓山国家级</w:t>
      </w:r>
      <w:r>
        <w:rPr>
          <w:rFonts w:hint="eastAsia"/>
        </w:rPr>
        <w:t>自然</w:t>
      </w:r>
      <w:r>
        <w:t>保护区</w:t>
      </w:r>
      <w:r>
        <w:rPr>
          <w:rFonts w:hint="eastAsia"/>
        </w:rPr>
        <w:t>、</w:t>
      </w:r>
      <w:r>
        <w:t>米仓山大峡谷自然保护区、</w:t>
      </w:r>
      <w:r>
        <w:rPr>
          <w:rFonts w:hint="eastAsia"/>
        </w:rPr>
        <w:t>汉王山</w:t>
      </w:r>
      <w:r>
        <w:t>东</w:t>
      </w:r>
      <w:r>
        <w:rPr>
          <w:rFonts w:hint="eastAsia"/>
        </w:rPr>
        <w:t>河湿地省级</w:t>
      </w:r>
      <w:r>
        <w:t>自然保护区</w:t>
      </w:r>
      <w:r>
        <w:rPr>
          <w:rFonts w:hint="eastAsia"/>
        </w:rPr>
        <w:t>。</w:t>
      </w:r>
    </w:p>
    <w:p>
      <w:pPr>
        <w:ind w:firstLine="482"/>
        <w:rPr>
          <w:b/>
          <w:u w:val="single"/>
        </w:rPr>
      </w:pPr>
      <w:r>
        <w:rPr>
          <w:rFonts w:hint="eastAsia"/>
          <w:b/>
          <w:u w:val="single"/>
        </w:rPr>
        <w:t>严格按照《中华人民共和国自然保护区条例》、《四川省湿地保护条例》（</w:t>
      </w:r>
      <w:r>
        <w:rPr>
          <w:b/>
          <w:u w:val="single"/>
        </w:rPr>
        <w:t>NO</w:t>
      </w:r>
      <w:r>
        <w:rPr>
          <w:rFonts w:hint="eastAsia"/>
          <w:b/>
          <w:u w:val="single"/>
        </w:rPr>
        <w:t>：</w:t>
      </w:r>
      <w:r>
        <w:rPr>
          <w:b/>
          <w:u w:val="single"/>
        </w:rPr>
        <w:t>SC112451</w:t>
      </w:r>
      <w:r>
        <w:rPr>
          <w:rFonts w:hint="eastAsia"/>
          <w:b/>
          <w:u w:val="single"/>
        </w:rPr>
        <w:t>）对自然保护区实施管控。</w:t>
      </w:r>
      <w:r>
        <w:rPr>
          <w:rFonts w:hint="eastAsia"/>
        </w:rPr>
        <w:t>禁止在自然保护区内进行砍伐、放牧、狩猎、捕捞、采药、开垦、烧荒、开矿、采石、挖沙等活动；但是，法律、行政法规另有规定的除外。</w:t>
      </w:r>
    </w:p>
    <w:p>
      <w:pPr>
        <w:tabs>
          <w:tab w:val="left" w:pos="993"/>
        </w:tabs>
        <w:spacing w:line="360" w:lineRule="auto"/>
        <w:ind w:firstLine="398" w:firstLineChars="166"/>
      </w:pPr>
      <w:r>
        <w:rPr>
          <w:rFonts w:hint="eastAsia"/>
        </w:rPr>
        <w:t>严格落实依法批复的《四川米仓山国家级自然保护区总体规划（2015-2024）》等专项规划中对于保护区的划定原则和控制要求，落实关于设施建设、管理机制等的具体要求。</w:t>
      </w:r>
    </w:p>
    <w:p>
      <w:pPr>
        <w:pStyle w:val="76"/>
        <w:ind w:left="704"/>
        <w:rPr>
          <w:color w:val="auto"/>
        </w:rPr>
      </w:pPr>
      <w:bookmarkStart w:id="60" w:name="_Toc3889203"/>
      <w:r>
        <w:rPr>
          <w:rFonts w:hint="eastAsia"/>
          <w:color w:val="auto"/>
        </w:rPr>
        <w:t>森林公园</w:t>
      </w:r>
      <w:bookmarkEnd w:id="60"/>
    </w:p>
    <w:p>
      <w:pPr>
        <w:ind w:firstLine="480"/>
      </w:pPr>
      <w:r>
        <w:rPr>
          <w:rFonts w:hint="eastAsia"/>
        </w:rPr>
        <w:t>保护旺苍县域内鼓城山</w:t>
      </w:r>
      <w:r>
        <w:t>-</w:t>
      </w:r>
      <w:r>
        <w:rPr>
          <w:rFonts w:hint="eastAsia"/>
        </w:rPr>
        <w:t>七里峡</w:t>
      </w:r>
      <w:r>
        <w:t>省级</w:t>
      </w:r>
      <w:r>
        <w:rPr>
          <w:rFonts w:hint="eastAsia"/>
        </w:rPr>
        <w:t>森林公园、旺苍大峡谷省级森林公园、松米</w:t>
      </w:r>
      <w:r>
        <w:t>山</w:t>
      </w:r>
      <w:r>
        <w:rPr>
          <w:rFonts w:hint="eastAsia"/>
        </w:rPr>
        <w:t>省级</w:t>
      </w:r>
      <w:r>
        <w:t>森林公园</w:t>
      </w:r>
      <w:r>
        <w:rPr>
          <w:rFonts w:hint="eastAsia"/>
        </w:rPr>
        <w:t>。</w:t>
      </w:r>
    </w:p>
    <w:p>
      <w:pPr>
        <w:ind w:firstLine="482"/>
        <w:rPr>
          <w:b/>
          <w:u w:val="single"/>
        </w:rPr>
      </w:pPr>
      <w:r>
        <w:rPr>
          <w:rFonts w:hint="eastAsia"/>
          <w:b/>
          <w:u w:val="single"/>
        </w:rPr>
        <w:t>严格按照《国家级森林公园管理办法》、《四川省森林公园管理条例（川人委</w:t>
      </w:r>
      <w:r>
        <w:rPr>
          <w:b/>
          <w:u w:val="single"/>
        </w:rPr>
        <w:t>[2000]57</w:t>
      </w:r>
      <w:r>
        <w:rPr>
          <w:rFonts w:hint="eastAsia"/>
          <w:b/>
          <w:u w:val="single"/>
        </w:rPr>
        <w:t>号）》对森林公园实施管控。</w:t>
      </w:r>
    </w:p>
    <w:p>
      <w:pPr>
        <w:ind w:firstLine="480"/>
        <w:rPr>
          <w:strike/>
        </w:rPr>
      </w:pPr>
      <w:r>
        <w:rPr>
          <w:rFonts w:hint="eastAsia"/>
        </w:rPr>
        <w:t>森林公园的建设，应当符合森林公园发展规划，不得兴建破坏森林资源和景观、妨碍游览、污染环境的工程设施。</w:t>
      </w:r>
    </w:p>
    <w:p>
      <w:pPr>
        <w:ind w:firstLine="482"/>
        <w:rPr>
          <w:b/>
          <w:u w:val="single"/>
        </w:rPr>
      </w:pPr>
      <w:r>
        <w:rPr>
          <w:rFonts w:hint="eastAsia"/>
          <w:b/>
          <w:u w:val="single"/>
        </w:rPr>
        <w:t>任何单位和个人不得擅自填堵森林公园的自然水系；禁止在森林公园内超标准排放污水，乱倒乱扔生活垃圾和其他污染物。</w:t>
      </w:r>
    </w:p>
    <w:p>
      <w:pPr>
        <w:ind w:firstLine="482"/>
        <w:rPr>
          <w:b/>
          <w:u w:val="single"/>
        </w:rPr>
      </w:pPr>
      <w:r>
        <w:rPr>
          <w:rFonts w:hint="eastAsia"/>
          <w:b/>
          <w:u w:val="single"/>
        </w:rPr>
        <w:t>任何单位和个人不得擅自占用森林公园内的林地。确需征用、占用的，用地单位应当提出申请，经县级以上林业行政主管部门审核同意后，按照土地管理法律、法规的规定办理审批手续。</w:t>
      </w:r>
    </w:p>
    <w:p>
      <w:pPr>
        <w:pStyle w:val="78"/>
        <w:rPr>
          <w:sz w:val="44"/>
        </w:rPr>
      </w:pPr>
      <w:bookmarkStart w:id="61" w:name="_Toc497180800"/>
      <w:bookmarkStart w:id="62" w:name="_Toc3889204"/>
      <w:r>
        <w:rPr>
          <w:rFonts w:hint="eastAsia"/>
          <w:sz w:val="44"/>
        </w:rPr>
        <w:t>中心城区</w:t>
      </w:r>
      <w:r>
        <w:rPr>
          <w:sz w:val="44"/>
        </w:rPr>
        <w:t>历史文</w:t>
      </w:r>
      <w:r>
        <w:rPr>
          <w:rFonts w:hint="eastAsia"/>
          <w:sz w:val="44"/>
        </w:rPr>
        <w:t>化</w:t>
      </w:r>
      <w:r>
        <w:rPr>
          <w:sz w:val="44"/>
        </w:rPr>
        <w:t>保护</w:t>
      </w:r>
      <w:bookmarkEnd w:id="61"/>
      <w:bookmarkEnd w:id="62"/>
    </w:p>
    <w:p>
      <w:pPr>
        <w:pStyle w:val="76"/>
        <w:ind w:left="704"/>
        <w:rPr>
          <w:color w:val="auto"/>
        </w:rPr>
      </w:pPr>
      <w:bookmarkStart w:id="63" w:name="_Toc3889205"/>
      <w:r>
        <w:rPr>
          <w:rFonts w:hint="eastAsia"/>
          <w:color w:val="auto"/>
        </w:rPr>
        <w:t>保护结构</w:t>
      </w:r>
      <w:bookmarkEnd w:id="63"/>
    </w:p>
    <w:p>
      <w:pPr>
        <w:ind w:firstLine="480"/>
      </w:pPr>
      <w:r>
        <w:rPr>
          <w:rFonts w:hint="eastAsia" w:ascii="宋体" w:hAnsi="宋体"/>
        </w:rPr>
        <w:t>中心城区以红军城遗址群、东河印制公司旧址、山水城相依的城市空间格局为保护重点，包括与之相关的历史遗存和保护要素。</w:t>
      </w:r>
      <w:r>
        <w:rPr>
          <w:rFonts w:hint="eastAsia"/>
        </w:rPr>
        <w:t>保护“两山、一水、一城、一带、多节点”的保护框架。</w:t>
      </w:r>
    </w:p>
    <w:p>
      <w:pPr>
        <w:ind w:firstLine="480"/>
      </w:pPr>
      <w:r>
        <w:t>两山</w:t>
      </w:r>
      <w:r>
        <w:rPr>
          <w:rFonts w:hint="eastAsia"/>
        </w:rPr>
        <w:t>：</w:t>
      </w:r>
      <w:r>
        <w:rPr>
          <w:rFonts w:hint="eastAsia" w:ascii="宋体" w:hAnsi="宋体"/>
        </w:rPr>
        <w:t>与古城选址密切相关的南北侧山体，包括北侧松米山、南侧青林山。</w:t>
      </w:r>
    </w:p>
    <w:p>
      <w:pPr>
        <w:ind w:firstLine="480"/>
      </w:pPr>
      <w:r>
        <w:t>一水</w:t>
      </w:r>
      <w:r>
        <w:rPr>
          <w:rFonts w:hint="eastAsia"/>
        </w:rPr>
        <w:t>：</w:t>
      </w:r>
      <w:r>
        <w:rPr>
          <w:rFonts w:hint="eastAsia" w:ascii="宋体" w:hAnsi="宋体"/>
        </w:rPr>
        <w:t>与旺苍古代营城选址和城市组团状格局密切相关的东河，及其沿线贯穿的自然与历史文化资源。</w:t>
      </w:r>
    </w:p>
    <w:p>
      <w:pPr>
        <w:ind w:firstLine="480"/>
      </w:pPr>
      <w:r>
        <w:rPr>
          <w:rFonts w:hint="eastAsia"/>
        </w:rPr>
        <w:t>一城：旺苍红军城；</w:t>
      </w:r>
    </w:p>
    <w:p>
      <w:pPr>
        <w:ind w:firstLine="480"/>
      </w:pPr>
      <w:r>
        <w:rPr>
          <w:rFonts w:hint="eastAsia"/>
        </w:rPr>
        <w:t>一带：东西向贯穿全城的带状铁路公园形成的构成的工业文明带；</w:t>
      </w:r>
    </w:p>
    <w:p>
      <w:pPr>
        <w:ind w:firstLine="480"/>
      </w:pPr>
      <w:r>
        <w:rPr>
          <w:rFonts w:hint="eastAsia"/>
        </w:rPr>
        <w:t>多节点：包含红军城、503厂旧址、金库旧址、总部机关旧址、502厂旧址、505厂旧址在内的历史文化节点。</w:t>
      </w:r>
    </w:p>
    <w:p>
      <w:pPr>
        <w:pStyle w:val="76"/>
        <w:ind w:left="704"/>
        <w:rPr>
          <w:color w:val="auto"/>
        </w:rPr>
      </w:pPr>
      <w:bookmarkStart w:id="64" w:name="_Toc3889206"/>
      <w:bookmarkStart w:id="65" w:name="_Toc497180805"/>
      <w:r>
        <w:rPr>
          <w:color w:val="auto"/>
        </w:rPr>
        <w:t>城市总体布局</w:t>
      </w:r>
      <w:bookmarkEnd w:id="64"/>
    </w:p>
    <w:p>
      <w:pPr>
        <w:ind w:firstLine="480"/>
      </w:pPr>
      <w:r>
        <w:rPr>
          <w:rFonts w:hint="eastAsia"/>
        </w:rPr>
        <w:t>（1）</w:t>
      </w:r>
      <w:r>
        <w:t>现状特征</w:t>
      </w:r>
      <w:r>
        <w:rPr>
          <w:rFonts w:hint="eastAsia"/>
        </w:rPr>
        <w:t>：</w:t>
      </w:r>
      <w:r>
        <w:t>旺苍县城市形态及生长肌理特征体现了</w:t>
      </w:r>
      <w:r>
        <w:rPr>
          <w:rFonts w:hint="eastAsia"/>
        </w:rPr>
        <w:t>依水而建、依路而建的特点，同时受到</w:t>
      </w:r>
      <w:r>
        <w:t>“</w:t>
      </w:r>
      <w:r>
        <w:rPr>
          <w:rFonts w:hint="eastAsia"/>
        </w:rPr>
        <w:t>自上而下</w:t>
      </w:r>
      <w:r>
        <w:t>”</w:t>
      </w:r>
      <w:r>
        <w:rPr>
          <w:rFonts w:hint="eastAsia"/>
        </w:rPr>
        <w:t>的国家大型企业选址的影响。城市空间已形成沿河流发展、以交通导向为主的组团型的城市格局，规划未来城市的发展依然承接和延续这种格局，即城市仍以河流为主要发展轴线，依托主要交通干线呈组团状发展。</w:t>
      </w:r>
    </w:p>
    <w:p>
      <w:pPr>
        <w:ind w:firstLine="480"/>
      </w:pPr>
      <w:r>
        <w:rPr>
          <w:rFonts w:hint="eastAsia"/>
        </w:rPr>
        <w:t>（2）城市发展方向：在“2017版”总规提出的城市发展方向基础上，强调对老城的优化。城市总体布局遵循保护历史文化资源和生态环境、优化布局的原则，确定“带状发展，优化老城，强化中部，拓展东西，控制南北”</w:t>
      </w:r>
      <w:r>
        <w:t>的发展方向</w:t>
      </w:r>
      <w:r>
        <w:rPr>
          <w:rFonts w:hint="eastAsia"/>
        </w:rPr>
        <w:t>。</w:t>
      </w:r>
    </w:p>
    <w:p>
      <w:pPr>
        <w:ind w:firstLine="480"/>
      </w:pPr>
      <w:r>
        <w:rPr>
          <w:rFonts w:hint="eastAsia"/>
        </w:rPr>
        <w:t>带状发展</w:t>
      </w:r>
      <w:r>
        <w:t>——</w:t>
      </w:r>
      <w:r>
        <w:rPr>
          <w:rFonts w:hint="eastAsia"/>
        </w:rPr>
        <w:t>沿河谷形成带状组团式城市形态；</w:t>
      </w:r>
    </w:p>
    <w:p>
      <w:pPr>
        <w:ind w:firstLine="480"/>
      </w:pPr>
      <w:r>
        <w:rPr>
          <w:rFonts w:hint="eastAsia"/>
        </w:rPr>
        <w:t>优化老城——疏解旺苍坝老城人口，保护历史文化遗址和城市生态屏障，严格做好历史文化名城的各项保护工作，保护中国旺苍红军城的整体格局和历史风貌。保护老城周边和内部的生态环境，完善绿化网络，促进城市的可持续发展；</w:t>
      </w:r>
    </w:p>
    <w:p>
      <w:pPr>
        <w:ind w:firstLine="480"/>
      </w:pPr>
      <w:r>
        <w:rPr>
          <w:rFonts w:hint="eastAsia"/>
        </w:rPr>
        <w:t>强化中部</w:t>
      </w:r>
      <w:r>
        <w:t>——</w:t>
      </w:r>
      <w:r>
        <w:rPr>
          <w:rFonts w:hint="eastAsia"/>
        </w:rPr>
        <w:t>中部是未来发展最重要的区域，是体现城市核心竞争力的区域。中部城市组团主要指新桥、红旗坝和大中坝，分别代表旺苍未来发展的三个重要部分，新桥建设重点是对城市中心功能补充完善、红旗坝是旺苍最大的产城单元，大中坝是旺苍房产开发新区。</w:t>
      </w:r>
    </w:p>
    <w:p>
      <w:pPr>
        <w:ind w:firstLine="480"/>
      </w:pPr>
      <w:r>
        <w:rPr>
          <w:rFonts w:hint="eastAsia"/>
        </w:rPr>
        <w:t>拓展东西</w:t>
      </w:r>
      <w:r>
        <w:t>——</w:t>
      </w:r>
      <w:r>
        <w:rPr>
          <w:rFonts w:hint="eastAsia"/>
        </w:rPr>
        <w:t>东西方向是旺苍经济主导流向，规划将未来发展重要区域纳入中心城区内进行统一管理。沿着西河向西拓展，将省级经开区的生物资源综合利用功能区杜仲胶新材料研发制造基地纳入城市建设用地范围。沿东扩展到广巴高速旺苍东入口。</w:t>
      </w:r>
    </w:p>
    <w:p>
      <w:pPr>
        <w:ind w:firstLine="480"/>
      </w:pPr>
      <w:r>
        <w:rPr>
          <w:rFonts w:hint="eastAsia"/>
        </w:rPr>
        <w:t>控制南北</w:t>
      </w:r>
      <w:r>
        <w:t>——</w:t>
      </w:r>
      <w:r>
        <w:rPr>
          <w:rFonts w:hint="eastAsia"/>
        </w:rPr>
        <w:t>北部地区处于城市上风上游和生态旅游主导流向，向北应控制开发强度，适度拓展。南向地形复杂，南边主要考虑发展生态林地，禁止大规模开挖建设，为城市营建良好的生态基底。</w:t>
      </w:r>
    </w:p>
    <w:p>
      <w:pPr>
        <w:pStyle w:val="76"/>
        <w:ind w:left="704"/>
        <w:rPr>
          <w:color w:val="auto"/>
        </w:rPr>
      </w:pPr>
      <w:bookmarkStart w:id="66" w:name="_Toc3889207"/>
      <w:r>
        <w:rPr>
          <w:color w:val="auto"/>
        </w:rPr>
        <w:t>城市整体风貌控制</w:t>
      </w:r>
      <w:bookmarkEnd w:id="66"/>
    </w:p>
    <w:p>
      <w:pPr>
        <w:pStyle w:val="79"/>
        <w:numPr>
          <w:ilvl w:val="0"/>
          <w:numId w:val="23"/>
        </w:numPr>
        <w:ind w:firstLineChars="0"/>
      </w:pPr>
      <w:r>
        <w:rPr>
          <w:rFonts w:hint="eastAsia"/>
        </w:rPr>
        <w:t>山水格局</w:t>
      </w:r>
      <w:r>
        <w:t>保护</w:t>
      </w:r>
      <w:bookmarkEnd w:id="65"/>
    </w:p>
    <w:p>
      <w:pPr>
        <w:ind w:firstLine="480"/>
        <w:rPr>
          <w:rFonts w:ascii="宋体" w:hAnsi="宋体"/>
        </w:rPr>
      </w:pPr>
      <w:r>
        <w:rPr>
          <w:rFonts w:hint="eastAsia"/>
        </w:rPr>
        <w:t>一是保护中心城区“两山一水”（“两山”指青林山、松米山，“一水”指东河）的山水格局</w:t>
      </w:r>
      <w:r>
        <w:rPr>
          <w:rFonts w:hint="eastAsia" w:ascii="宋体" w:hAnsi="宋体"/>
        </w:rPr>
        <w:t>。</w:t>
      </w:r>
      <w:r>
        <w:rPr>
          <w:rFonts w:hint="eastAsia"/>
        </w:rPr>
        <w:t>城市建设因地制宜，顺应自然山水形态，保护自然山水，对城址环境提出管控要求，强调山水城格局的整体化。</w:t>
      </w:r>
    </w:p>
    <w:p>
      <w:pPr>
        <w:ind w:firstLine="480"/>
      </w:pPr>
      <w:r>
        <w:rPr>
          <w:rFonts w:hint="eastAsia"/>
        </w:rPr>
        <w:t>二是严格保护东河，</w:t>
      </w:r>
      <w:r>
        <w:rPr>
          <w:rFonts w:hint="eastAsia"/>
          <w:b/>
          <w:u w:val="single"/>
        </w:rPr>
        <w:t>划定水体保护控制线（蓝线），严格按《城市蓝线管理办法（中华人民共和国建设部令第145号）》保护</w:t>
      </w:r>
      <w:r>
        <w:rPr>
          <w:rFonts w:hint="eastAsia"/>
        </w:rPr>
        <w:t>。</w:t>
      </w:r>
    </w:p>
    <w:p>
      <w:pPr>
        <w:ind w:firstLine="480"/>
        <w:rPr>
          <w:rFonts w:ascii="宋体" w:hAnsi="宋体"/>
        </w:rPr>
      </w:pPr>
      <w:r>
        <w:t>三</w:t>
      </w:r>
      <w:r>
        <w:rPr>
          <w:rFonts w:hint="eastAsia"/>
        </w:rPr>
        <w:t>是</w:t>
      </w:r>
      <w:r>
        <w:rPr>
          <w:rFonts w:hint="eastAsia" w:ascii="宋体" w:hAnsi="宋体"/>
          <w:b/>
          <w:u w:val="single"/>
        </w:rPr>
        <w:t>加强</w:t>
      </w:r>
      <w:r>
        <w:rPr>
          <w:rFonts w:hint="eastAsia"/>
        </w:rPr>
        <w:t>青林山、松米山的</w:t>
      </w:r>
      <w:r>
        <w:rPr>
          <w:rFonts w:hint="eastAsia" w:ascii="宋体" w:hAnsi="宋体"/>
          <w:b/>
          <w:u w:val="single"/>
        </w:rPr>
        <w:t>山体保护，执行《旺苍县林地保护利用规划（2010-2020年）》的保护要求，开展植树造林和封山育林，维护周围地形地貌，保持山体视线通透。</w:t>
      </w:r>
    </w:p>
    <w:p>
      <w:pPr>
        <w:pStyle w:val="79"/>
        <w:numPr>
          <w:ilvl w:val="0"/>
          <w:numId w:val="23"/>
        </w:numPr>
        <w:ind w:firstLineChars="0"/>
      </w:pPr>
      <w:r>
        <w:rPr>
          <w:rFonts w:hint="eastAsia"/>
        </w:rPr>
        <w:t>空间轮廓保护</w:t>
      </w:r>
    </w:p>
    <w:p>
      <w:pPr>
        <w:ind w:firstLine="480"/>
      </w:pPr>
      <w:r>
        <w:rPr>
          <w:rFonts w:hint="eastAsia"/>
        </w:rPr>
        <w:t>一是山体轮廓的保护。保护山体的自然天际线。山体作为城市重要的生态背景及观景阳台，山体保护考虑城市天际线、城市视线通廊的塑造，临山地区建筑面宽、体量、风格、色彩应与山体景观协调，建筑布局不能破坏山体界面。</w:t>
      </w:r>
    </w:p>
    <w:p>
      <w:pPr>
        <w:ind w:firstLine="480"/>
      </w:pPr>
      <w:r>
        <w:rPr>
          <w:rFonts w:hint="eastAsia"/>
        </w:rPr>
        <w:t>二是山体植被的保护。保护鸡鸣山、青林山、花果山等主要山体，</w:t>
      </w:r>
      <w:r>
        <w:rPr>
          <w:rFonts w:hint="eastAsia"/>
          <w:b/>
        </w:rPr>
        <w:t>确认</w:t>
      </w:r>
      <w:r>
        <w:rPr>
          <w:rFonts w:hint="eastAsia"/>
          <w:b/>
          <w:u w:val="single"/>
        </w:rPr>
        <w:t>林地保护区域和保护等级，严格按照林地保护范围和保护要求保护山体自然生态格局</w:t>
      </w:r>
      <w:r>
        <w:rPr>
          <w:rFonts w:hint="eastAsia"/>
        </w:rPr>
        <w:t>。保护山体植被，严控建设行为。除景观环境小品或必要的安全设施、市政设施外，原则上不宜增加大型建筑。</w:t>
      </w:r>
    </w:p>
    <w:p>
      <w:pPr>
        <w:ind w:firstLine="482"/>
        <w:rPr>
          <w:b/>
          <w:u w:val="single"/>
        </w:rPr>
      </w:pPr>
      <w:r>
        <w:rPr>
          <w:rFonts w:hint="eastAsia"/>
          <w:b/>
          <w:u w:val="single"/>
        </w:rPr>
        <w:t>三是山体历史遗产的保护。保护依托山体存在的南峰山石刻标语、茶马古道等历史遗产，维护遗产周边自然环境。</w:t>
      </w:r>
    </w:p>
    <w:p>
      <w:pPr>
        <w:pStyle w:val="79"/>
        <w:numPr>
          <w:ilvl w:val="0"/>
          <w:numId w:val="23"/>
        </w:numPr>
        <w:ind w:firstLineChars="0"/>
      </w:pPr>
      <w:r>
        <w:rPr>
          <w:rFonts w:hint="eastAsia"/>
        </w:rPr>
        <w:t>建筑风貌保护与控制</w:t>
      </w:r>
    </w:p>
    <w:p>
      <w:pPr>
        <w:pStyle w:val="80"/>
        <w:numPr>
          <w:ilvl w:val="0"/>
          <w:numId w:val="24"/>
        </w:numPr>
        <w:ind w:right="0" w:rightChars="0"/>
        <w:outlineLvl w:val="3"/>
      </w:pPr>
      <w:r>
        <w:t>现代</w:t>
      </w:r>
      <w:r>
        <w:rPr>
          <w:rFonts w:hint="eastAsia"/>
        </w:rPr>
        <w:t>工业</w:t>
      </w:r>
      <w:r>
        <w:t>风貌区</w:t>
      </w:r>
    </w:p>
    <w:p>
      <w:pPr>
        <w:ind w:firstLine="480"/>
      </w:pPr>
      <w:r>
        <w:rPr>
          <w:rFonts w:hint="eastAsia"/>
        </w:rPr>
        <w:t>范围：即</w:t>
      </w:r>
      <w:r>
        <w:t>指</w:t>
      </w:r>
      <w:r>
        <w:rPr>
          <w:rFonts w:hint="eastAsia"/>
        </w:rPr>
        <w:t>省级经开区部分，</w:t>
      </w:r>
      <w:r>
        <w:t>包括简家坝工业组团</w:t>
      </w:r>
      <w:r>
        <w:rPr>
          <w:rFonts w:hint="eastAsia"/>
        </w:rPr>
        <w:t>。</w:t>
      </w:r>
    </w:p>
    <w:p>
      <w:pPr>
        <w:ind w:firstLine="480"/>
      </w:pPr>
      <w:r>
        <w:rPr>
          <w:rFonts w:hint="eastAsia"/>
        </w:rPr>
        <w:t>塑造要求：</w:t>
      </w:r>
      <w:r>
        <w:rPr>
          <w:rFonts w:hint="eastAsia"/>
          <w:kern w:val="0"/>
          <w:lang w:val="zh-CN" w:eastAsia="zh-CN"/>
        </w:rPr>
        <w:t>该风貌区以现代工业风貌为主，整体建筑风格以工业建筑风格为主，建筑色彩以白色灰色浅蓝色为主，建筑高度以多层、低层为主。要求工业厂房和办公建筑采用简洁的建筑形式，在</w:t>
      </w:r>
      <w:r>
        <w:rPr>
          <w:rFonts w:hint="eastAsia"/>
        </w:rPr>
        <w:t>组团部分景观节点处布局现代风格的广场及景观小品，</w:t>
      </w:r>
      <w:r>
        <w:t>体现</w:t>
      </w:r>
      <w:r>
        <w:rPr>
          <w:rFonts w:hint="eastAsia"/>
        </w:rPr>
        <w:t>“新型</w:t>
      </w:r>
      <w:r>
        <w:t>工业，</w:t>
      </w:r>
      <w:r>
        <w:rPr>
          <w:rFonts w:hint="eastAsia"/>
        </w:rPr>
        <w:t>产业旺苍”</w:t>
      </w:r>
      <w:r>
        <w:t>的主题。</w:t>
      </w:r>
    </w:p>
    <w:p>
      <w:pPr>
        <w:pStyle w:val="80"/>
        <w:numPr>
          <w:ilvl w:val="0"/>
          <w:numId w:val="24"/>
        </w:numPr>
        <w:ind w:right="0" w:rightChars="0"/>
        <w:outlineLvl w:val="3"/>
      </w:pPr>
      <w:r>
        <w:t>现代</w:t>
      </w:r>
      <w:r>
        <w:rPr>
          <w:rFonts w:hint="eastAsia"/>
        </w:rPr>
        <w:t>城市</w:t>
      </w:r>
      <w:r>
        <w:t>风貌区</w:t>
      </w:r>
    </w:p>
    <w:p>
      <w:pPr>
        <w:ind w:firstLine="480"/>
      </w:pPr>
      <w:r>
        <w:rPr>
          <w:rFonts w:hint="eastAsia"/>
        </w:rPr>
        <w:t>范围：包括新桥、红旗坝、大中坝、石坝</w:t>
      </w:r>
      <w:r>
        <w:t>、</w:t>
      </w:r>
      <w:r>
        <w:rPr>
          <w:rFonts w:hint="eastAsia"/>
        </w:rPr>
        <w:t>嘉川镇五个</w:t>
      </w:r>
      <w:r>
        <w:t>组团</w:t>
      </w:r>
      <w:r>
        <w:rPr>
          <w:rFonts w:hint="eastAsia"/>
        </w:rPr>
        <w:t>。</w:t>
      </w:r>
    </w:p>
    <w:p>
      <w:pPr>
        <w:ind w:firstLine="480"/>
      </w:pPr>
      <w:r>
        <w:rPr>
          <w:rFonts w:hint="eastAsia"/>
        </w:rPr>
        <w:t>塑造要求：嘉川镇避免大拆大建，重点为完善市政设施建设和开辟公共活动空间，对现有建筑进行清洗、刷新和拆违。城市格局延续自然有机生长的风貌形态；新桥、红旗坝为新区，建筑环境设施、市政设施、绿化环境设计、施工都必须按现代标准精心打造。建筑风格以现代简约与川北民居建筑特色相结合形成旺苍风格；大中坝、</w:t>
      </w:r>
      <w:r>
        <w:t>石坝</w:t>
      </w:r>
      <w:r>
        <w:rPr>
          <w:rFonts w:hint="eastAsia"/>
        </w:rPr>
        <w:t>是旺苍城市主要景观轴交汇点，是城市的新地标。其风貌特色以生态、绿色、现代为主题。建筑风格以现代简约风格为主，色彩明快淡雅；</w:t>
      </w:r>
      <w:r>
        <w:t>现代</w:t>
      </w:r>
      <w:r>
        <w:rPr>
          <w:rFonts w:hint="eastAsia"/>
        </w:rPr>
        <w:t>城市</w:t>
      </w:r>
      <w:r>
        <w:t>风貌区</w:t>
      </w:r>
      <w:r>
        <w:rPr>
          <w:rFonts w:hint="eastAsia"/>
        </w:rPr>
        <w:t>主导色彩为米白色、象牙白、椰黄色、白色、银灰色。屋顶形式以平屋顶为主。</w:t>
      </w:r>
      <w:r>
        <w:t>体现"</w:t>
      </w:r>
      <w:r>
        <w:rPr>
          <w:rFonts w:hint="eastAsia"/>
        </w:rPr>
        <w:t>魅力东河</w:t>
      </w:r>
      <w:r>
        <w:t>，</w:t>
      </w:r>
      <w:r>
        <w:rPr>
          <w:rFonts w:hint="eastAsia"/>
        </w:rPr>
        <w:t>活力旺苍</w:t>
      </w:r>
      <w:r>
        <w:t>"的主题。</w:t>
      </w:r>
    </w:p>
    <w:p>
      <w:pPr>
        <w:pStyle w:val="80"/>
        <w:numPr>
          <w:ilvl w:val="0"/>
          <w:numId w:val="24"/>
        </w:numPr>
        <w:ind w:right="0" w:rightChars="0"/>
        <w:outlineLvl w:val="3"/>
      </w:pPr>
      <w:r>
        <w:rPr>
          <w:rFonts w:hint="eastAsia"/>
        </w:rPr>
        <w:t>川北</w:t>
      </w:r>
      <w:r>
        <w:t>城镇风貌区</w:t>
      </w:r>
    </w:p>
    <w:p>
      <w:pPr>
        <w:ind w:firstLine="480"/>
      </w:pPr>
      <w:r>
        <w:rPr>
          <w:rFonts w:hint="eastAsia"/>
        </w:rPr>
        <w:t>范围：主要</w:t>
      </w:r>
      <w:r>
        <w:t>为</w:t>
      </w:r>
      <w:r>
        <w:rPr>
          <w:rFonts w:hint="eastAsia"/>
        </w:rPr>
        <w:t>凤凰梁城市组团。</w:t>
      </w:r>
    </w:p>
    <w:p>
      <w:pPr>
        <w:ind w:firstLine="480"/>
      </w:pPr>
      <w:r>
        <w:rPr>
          <w:rFonts w:hint="eastAsia"/>
        </w:rPr>
        <w:t>塑造要求：建筑以川北民居的木色墙、灰瓦顶、格窗，“U”形布局、回廊、山墙、挑台等元素为基调，小品、雕塑以表现民风民俗特色为主题，色彩以木本色和灰色为主导色，</w:t>
      </w:r>
      <w:r>
        <w:t>体现"</w:t>
      </w:r>
      <w:r>
        <w:rPr>
          <w:rFonts w:hint="eastAsia"/>
        </w:rPr>
        <w:t>川北</w:t>
      </w:r>
      <w:r>
        <w:t>民居，</w:t>
      </w:r>
      <w:r>
        <w:rPr>
          <w:rFonts w:hint="eastAsia"/>
        </w:rPr>
        <w:t>山水旺苍</w:t>
      </w:r>
      <w:r>
        <w:t>"的主题。</w:t>
      </w:r>
    </w:p>
    <w:p>
      <w:pPr>
        <w:pStyle w:val="80"/>
        <w:numPr>
          <w:ilvl w:val="0"/>
          <w:numId w:val="24"/>
        </w:numPr>
        <w:ind w:right="0" w:rightChars="0"/>
        <w:outlineLvl w:val="3"/>
      </w:pPr>
      <w:r>
        <w:rPr>
          <w:rFonts w:hint="eastAsia"/>
        </w:rPr>
        <w:t>红军</w:t>
      </w:r>
      <w:r>
        <w:t>文化风貌区</w:t>
      </w:r>
    </w:p>
    <w:p>
      <w:pPr>
        <w:ind w:firstLine="480"/>
      </w:pPr>
      <w:r>
        <w:rPr>
          <w:rFonts w:hint="eastAsia"/>
        </w:rPr>
        <w:t>范围：与中国旺苍红军城的风貌协调区范围一致。</w:t>
      </w:r>
    </w:p>
    <w:p>
      <w:pPr>
        <w:ind w:firstLine="480"/>
      </w:pPr>
      <w:r>
        <w:rPr>
          <w:rFonts w:hint="eastAsia"/>
        </w:rPr>
        <w:t>塑造要求：以传统川北民居穿斗结构坡屋顶建筑为基调，色彩以红、灰、白、黑组合的“红军色”为主导色彩，环境小品、雕塑以“红军故事”为创作主题，以“红五星”作为区域的母题符号。</w:t>
      </w:r>
      <w:r>
        <w:t>体现"</w:t>
      </w:r>
      <w:r>
        <w:rPr>
          <w:rFonts w:hint="eastAsia"/>
        </w:rPr>
        <w:t>人文</w:t>
      </w:r>
      <w:r>
        <w:t>景区，</w:t>
      </w:r>
      <w:r>
        <w:rPr>
          <w:rFonts w:hint="eastAsia"/>
        </w:rPr>
        <w:t>红色旺苍</w:t>
      </w:r>
      <w:r>
        <w:t>"的主题。</w:t>
      </w:r>
    </w:p>
    <w:p>
      <w:pPr>
        <w:pStyle w:val="80"/>
        <w:numPr>
          <w:ilvl w:val="0"/>
          <w:numId w:val="24"/>
        </w:numPr>
        <w:ind w:right="0" w:rightChars="0"/>
        <w:outlineLvl w:val="3"/>
      </w:pPr>
      <w:r>
        <w:t>现代居住风貌区</w:t>
      </w:r>
    </w:p>
    <w:p>
      <w:pPr>
        <w:ind w:firstLine="480"/>
      </w:pPr>
      <w:r>
        <w:t>以各具特色的充满艺术气息和文化品位的居住、休闲空间及融历史与现代为一体的环境品质为特征，体现</w:t>
      </w:r>
      <w:r>
        <w:rPr>
          <w:rFonts w:hint="eastAsia"/>
        </w:rPr>
        <w:t>旺苍</w:t>
      </w:r>
      <w:r>
        <w:t>城市</w:t>
      </w:r>
      <w:r>
        <w:rPr>
          <w:rFonts w:hint="eastAsia"/>
        </w:rPr>
        <w:t>山水</w:t>
      </w:r>
      <w:r>
        <w:t>文化和人居环境的品质特性，建筑以</w:t>
      </w:r>
      <w:r>
        <w:rPr>
          <w:rFonts w:hint="eastAsia"/>
        </w:rPr>
        <w:t>高层、</w:t>
      </w:r>
      <w:r>
        <w:t>小高层</w:t>
      </w:r>
      <w:r>
        <w:rPr>
          <w:rFonts w:hint="eastAsia"/>
        </w:rPr>
        <w:t>和</w:t>
      </w:r>
      <w:r>
        <w:t>局部多层为主。体现“生态</w:t>
      </w:r>
      <w:r>
        <w:rPr>
          <w:rFonts w:hint="eastAsia"/>
        </w:rPr>
        <w:t>人居</w:t>
      </w:r>
      <w:r>
        <w:t>，</w:t>
      </w:r>
      <w:r>
        <w:rPr>
          <w:rFonts w:hint="eastAsia"/>
        </w:rPr>
        <w:t>幸福旺苍</w:t>
      </w:r>
      <w:r>
        <w:t>”主题。</w:t>
      </w:r>
    </w:p>
    <w:p>
      <w:pPr>
        <w:pStyle w:val="80"/>
        <w:numPr>
          <w:ilvl w:val="0"/>
          <w:numId w:val="24"/>
        </w:numPr>
        <w:ind w:right="0" w:rightChars="0"/>
        <w:outlineLvl w:val="3"/>
      </w:pPr>
      <w:r>
        <w:rPr>
          <w:rFonts w:hint="eastAsia"/>
        </w:rPr>
        <w:t>生态风貌</w:t>
      </w:r>
      <w:r>
        <w:t>片区控制</w:t>
      </w:r>
    </w:p>
    <w:p>
      <w:pPr>
        <w:ind w:firstLine="480"/>
      </w:pPr>
      <w:r>
        <w:rPr>
          <w:rFonts w:hint="eastAsia"/>
        </w:rPr>
        <w:t>依据旺苍</w:t>
      </w:r>
      <w:r>
        <w:t>县</w:t>
      </w:r>
      <w:r>
        <w:rPr>
          <w:rFonts w:hint="eastAsia"/>
        </w:rPr>
        <w:t>山体、河流水域等自然地形地貌特征，塑造并强化旺苍县“两山一水”的总体景观风貌格局。</w:t>
      </w:r>
    </w:p>
    <w:p>
      <w:pPr>
        <w:ind w:firstLine="480"/>
      </w:pPr>
      <w:r>
        <w:t>以</w:t>
      </w:r>
      <w:r>
        <w:rPr>
          <w:rFonts w:hint="eastAsia"/>
        </w:rPr>
        <w:t>公园</w:t>
      </w:r>
      <w:r>
        <w:t>绿地</w:t>
      </w:r>
      <w:r>
        <w:rPr>
          <w:rFonts w:hint="eastAsia"/>
        </w:rPr>
        <w:t>和</w:t>
      </w:r>
      <w:r>
        <w:t>生态林地作为主要控制对象，</w:t>
      </w:r>
      <w:r>
        <w:rPr>
          <w:rFonts w:hint="eastAsia"/>
        </w:rPr>
        <w:t>加强</w:t>
      </w:r>
      <w:r>
        <w:t>度山体的保护，对</w:t>
      </w:r>
      <w:r>
        <w:rPr>
          <w:rFonts w:hint="eastAsia"/>
        </w:rPr>
        <w:t>该</w:t>
      </w:r>
      <w:r>
        <w:t>区内建设项目进行严格控制</w:t>
      </w:r>
      <w:r>
        <w:rPr>
          <w:rFonts w:hint="eastAsia"/>
        </w:rPr>
        <w:t>，创造</w:t>
      </w:r>
      <w:r>
        <w:t>具有生态、休闲、旅游、景观的</w:t>
      </w:r>
      <w:r>
        <w:rPr>
          <w:rFonts w:hint="eastAsia"/>
        </w:rPr>
        <w:t>风貌</w:t>
      </w:r>
      <w:r>
        <w:t>区。</w:t>
      </w:r>
      <w:bookmarkStart w:id="67" w:name="_Toc497180806"/>
    </w:p>
    <w:p>
      <w:pPr>
        <w:ind w:firstLine="480"/>
      </w:pPr>
    </w:p>
    <w:p>
      <w:pPr>
        <w:pStyle w:val="79"/>
        <w:numPr>
          <w:ilvl w:val="0"/>
          <w:numId w:val="23"/>
        </w:numPr>
        <w:ind w:firstLineChars="0"/>
      </w:pPr>
      <w:r>
        <w:rPr>
          <w:rFonts w:hint="eastAsia"/>
        </w:rPr>
        <w:t>视线通廊保护</w:t>
      </w:r>
    </w:p>
    <w:p>
      <w:pPr>
        <w:ind w:firstLine="480"/>
        <w:rPr>
          <w:rFonts w:ascii="宋体" w:hAnsi="宋体"/>
          <w:bCs/>
        </w:rPr>
      </w:pPr>
      <w:r>
        <w:rPr>
          <w:rFonts w:hint="eastAsia" w:ascii="宋体" w:hAnsi="宋体"/>
          <w:bCs/>
        </w:rPr>
        <w:t>保护中心城区的4类主要观景点：旺苍红军城</w:t>
      </w:r>
      <w:r>
        <w:rPr>
          <w:rFonts w:ascii="宋体" w:hAnsi="宋体"/>
          <w:bCs/>
        </w:rPr>
        <w:t>、</w:t>
      </w:r>
      <w:r>
        <w:rPr>
          <w:rFonts w:hint="eastAsia" w:ascii="宋体" w:hAnsi="宋体"/>
          <w:bCs/>
        </w:rPr>
        <w:t>东河印刷公司旧址（</w:t>
      </w:r>
      <w:r>
        <w:rPr>
          <w:rFonts w:hint="eastAsia"/>
        </w:rPr>
        <w:t>含</w:t>
      </w:r>
      <w:r>
        <w:t>503</w:t>
      </w:r>
      <w:r>
        <w:rPr>
          <w:rFonts w:hint="eastAsia"/>
        </w:rPr>
        <w:t>厂旧址</w:t>
      </w:r>
      <w:r>
        <w:t>、金库旧址、总部机关旧址、502</w:t>
      </w:r>
      <w:r>
        <w:rPr>
          <w:rFonts w:hint="eastAsia"/>
        </w:rPr>
        <w:t>厂</w:t>
      </w:r>
      <w:r>
        <w:t>旧址、505</w:t>
      </w:r>
      <w:r>
        <w:rPr>
          <w:rFonts w:hint="eastAsia"/>
        </w:rPr>
        <w:t>厂</w:t>
      </w:r>
      <w:r>
        <w:t>旧址</w:t>
      </w:r>
      <w:r>
        <w:rPr>
          <w:rFonts w:hint="eastAsia" w:ascii="宋体" w:hAnsi="宋体"/>
          <w:bCs/>
        </w:rPr>
        <w:t>）</w:t>
      </w:r>
      <w:r>
        <w:rPr>
          <w:rFonts w:ascii="宋体" w:hAnsi="宋体"/>
          <w:bCs/>
        </w:rPr>
        <w:t>、</w:t>
      </w:r>
      <w:r>
        <w:rPr>
          <w:rFonts w:hint="eastAsia" w:ascii="宋体" w:hAnsi="宋体"/>
          <w:bCs/>
        </w:rPr>
        <w:t>南峰山</w:t>
      </w:r>
      <w:r>
        <w:rPr>
          <w:rFonts w:ascii="宋体" w:hAnsi="宋体"/>
          <w:bCs/>
        </w:rPr>
        <w:t>红军石刻标语、</w:t>
      </w:r>
      <w:r>
        <w:rPr>
          <w:rFonts w:hint="eastAsia" w:ascii="宋体" w:hAnsi="宋体"/>
          <w:bCs/>
        </w:rPr>
        <w:t>林溪烈士陵园。</w:t>
      </w:r>
    </w:p>
    <w:p>
      <w:pPr>
        <w:ind w:firstLine="482"/>
        <w:rPr>
          <w:rFonts w:ascii="宋体" w:hAnsi="宋体"/>
          <w:b/>
          <w:bCs/>
        </w:rPr>
      </w:pPr>
      <w:r>
        <w:rPr>
          <w:rFonts w:hint="eastAsia" w:ascii="宋体" w:hAnsi="宋体"/>
          <w:b/>
          <w:bCs/>
        </w:rPr>
        <w:t>保护3类视廊：</w:t>
      </w:r>
    </w:p>
    <w:p>
      <w:pPr>
        <w:ind w:firstLine="480"/>
        <w:rPr>
          <w:rFonts w:ascii="宋体" w:hAnsi="宋体"/>
          <w:bCs/>
        </w:rPr>
      </w:pPr>
      <w:r>
        <w:rPr>
          <w:rFonts w:hint="eastAsia" w:ascii="宋体" w:hAnsi="宋体"/>
          <w:bCs/>
        </w:rPr>
        <w:t>（1）旺苍红军城——南峰山</w:t>
      </w:r>
      <w:r>
        <w:rPr>
          <w:rFonts w:ascii="宋体" w:hAnsi="宋体"/>
          <w:bCs/>
        </w:rPr>
        <w:t>红军石刻标语</w:t>
      </w:r>
      <w:r>
        <w:rPr>
          <w:rFonts w:hint="eastAsia" w:ascii="宋体" w:hAnsi="宋体"/>
          <w:bCs/>
        </w:rPr>
        <w:t>；</w:t>
      </w:r>
    </w:p>
    <w:p>
      <w:pPr>
        <w:ind w:firstLine="480"/>
        <w:rPr>
          <w:rFonts w:ascii="宋体" w:hAnsi="宋体"/>
          <w:bCs/>
        </w:rPr>
      </w:pPr>
      <w:r>
        <w:rPr>
          <w:rFonts w:hint="eastAsia" w:ascii="宋体" w:hAnsi="宋体"/>
          <w:bCs/>
        </w:rPr>
        <w:t>（2）东河印刷公司旧址——旺苍红军城；</w:t>
      </w:r>
    </w:p>
    <w:p>
      <w:pPr>
        <w:ind w:firstLine="480"/>
        <w:rPr>
          <w:rFonts w:ascii="宋体" w:hAnsi="宋体"/>
          <w:bCs/>
        </w:rPr>
      </w:pPr>
      <w:r>
        <w:rPr>
          <w:rFonts w:hint="eastAsia" w:ascii="宋体" w:hAnsi="宋体"/>
          <w:bCs/>
        </w:rPr>
        <w:t>（3）林溪烈士陵园——旺苍红军城。</w:t>
      </w:r>
    </w:p>
    <w:p>
      <w:pPr>
        <w:pStyle w:val="76"/>
        <w:ind w:left="704"/>
        <w:rPr>
          <w:color w:val="auto"/>
        </w:rPr>
      </w:pPr>
      <w:bookmarkStart w:id="68" w:name="_Toc3889208"/>
      <w:r>
        <w:rPr>
          <w:color w:val="auto"/>
        </w:rPr>
        <w:t>红军城遗址群保护</w:t>
      </w:r>
      <w:bookmarkEnd w:id="67"/>
      <w:bookmarkEnd w:id="68"/>
    </w:p>
    <w:p>
      <w:pPr>
        <w:ind w:left="704" w:firstLine="0" w:firstLineChars="0"/>
      </w:pPr>
      <w:bookmarkStart w:id="69" w:name="_Toc497180807"/>
      <w:r>
        <w:rPr>
          <w:rFonts w:hint="eastAsia"/>
        </w:rPr>
        <w:t>红军城遗址群为历史城区的主要构成，其保护范围与具体保护措施见第六章：历史城区保护。</w:t>
      </w:r>
    </w:p>
    <w:bookmarkEnd w:id="69"/>
    <w:p>
      <w:pPr>
        <w:pStyle w:val="76"/>
        <w:ind w:left="704"/>
        <w:rPr>
          <w:color w:val="auto"/>
        </w:rPr>
      </w:pPr>
      <w:bookmarkStart w:id="70" w:name="_Toc3889209"/>
      <w:bookmarkStart w:id="71" w:name="_Toc497180810"/>
      <w:r>
        <w:rPr>
          <w:rFonts w:hint="eastAsia"/>
          <w:color w:val="auto"/>
        </w:rPr>
        <w:t>城市紫线管理</w:t>
      </w:r>
      <w:bookmarkEnd w:id="70"/>
    </w:p>
    <w:p>
      <w:pPr>
        <w:pStyle w:val="79"/>
        <w:numPr>
          <w:ilvl w:val="0"/>
          <w:numId w:val="25"/>
        </w:numPr>
        <w:ind w:firstLineChars="0"/>
      </w:pPr>
      <w:r>
        <w:rPr>
          <w:rFonts w:hint="eastAsia"/>
        </w:rPr>
        <w:t>城市紫线的划定</w:t>
      </w:r>
    </w:p>
    <w:p>
      <w:pPr>
        <w:ind w:firstLine="480"/>
        <w:rPr>
          <w:rFonts w:ascii="宋体" w:hAnsi="宋体"/>
        </w:rPr>
      </w:pPr>
      <w:r>
        <w:rPr>
          <w:rFonts w:hint="eastAsia" w:ascii="宋体" w:hAnsi="宋体"/>
        </w:rPr>
        <w:t>依据建设部《城市紫线管理办法》（2004年）的规定，城市紫线是指国家历史文化名城内的历史文化街区和省、自治区、直辖市人民政府公布的历史文化街区的保护范围线，以及历史文化街区外经县级以上人民政府公布保护的历史建筑的保护范围界线。</w:t>
      </w:r>
    </w:p>
    <w:p>
      <w:pPr>
        <w:ind w:firstLine="480"/>
        <w:rPr>
          <w:rFonts w:ascii="宋体" w:hAnsi="宋体"/>
        </w:rPr>
      </w:pPr>
      <w:r>
        <w:rPr>
          <w:rFonts w:hint="eastAsia" w:ascii="宋体" w:hAnsi="宋体"/>
        </w:rPr>
        <w:t>本次规划结合旺苍实际情况，</w:t>
      </w:r>
      <w:r>
        <w:rPr>
          <w:rFonts w:hint="eastAsia" w:ascii="宋体" w:hAnsi="宋体"/>
          <w:b/>
          <w:u w:val="single"/>
        </w:rPr>
        <w:t>将中心城区</w:t>
      </w:r>
      <w:r>
        <w:rPr>
          <w:rFonts w:ascii="宋体" w:hAnsi="宋体"/>
          <w:b/>
          <w:u w:val="single"/>
        </w:rPr>
        <w:t>2片历史文化街区</w:t>
      </w:r>
      <w:r>
        <w:rPr>
          <w:rFonts w:hint="eastAsia" w:ascii="宋体" w:hAnsi="宋体"/>
          <w:b/>
          <w:u w:val="single"/>
        </w:rPr>
        <w:t>的保护范围划定为城市紫线，同时结合批准的《东河印制公司旧址保护规划（2018-</w:t>
      </w:r>
      <w:r>
        <w:rPr>
          <w:rFonts w:ascii="宋体" w:hAnsi="宋体"/>
          <w:b/>
          <w:u w:val="single"/>
        </w:rPr>
        <w:t>2035</w:t>
      </w:r>
      <w:r>
        <w:rPr>
          <w:rFonts w:hint="eastAsia" w:ascii="宋体" w:hAnsi="宋体"/>
          <w:b/>
          <w:u w:val="single"/>
        </w:rPr>
        <w:t>）》将文物保护单位的保护范围、建议历史建筑（群）的保护范围也纳入城市紫线管理。</w:t>
      </w:r>
    </w:p>
    <w:p>
      <w:pPr>
        <w:pStyle w:val="79"/>
        <w:numPr>
          <w:ilvl w:val="0"/>
          <w:numId w:val="23"/>
        </w:numPr>
        <w:ind w:firstLineChars="0"/>
      </w:pPr>
      <w:r>
        <w:rPr>
          <w:rFonts w:hint="eastAsia"/>
        </w:rPr>
        <w:t>城市紫线的管理</w:t>
      </w:r>
    </w:p>
    <w:p>
      <w:pPr>
        <w:ind w:firstLine="482"/>
        <w:rPr>
          <w:rFonts w:ascii="方正仿宋简体"/>
          <w:b/>
          <w:bCs/>
          <w:szCs w:val="21"/>
          <w:u w:val="single"/>
        </w:rPr>
      </w:pPr>
      <w:r>
        <w:rPr>
          <w:rFonts w:hint="eastAsia" w:ascii="方正仿宋简体"/>
          <w:b/>
          <w:bCs/>
          <w:szCs w:val="21"/>
          <w:u w:val="single"/>
        </w:rPr>
        <w:t>按照《城市紫线管理办法》管理历史文化街区。</w:t>
      </w:r>
      <w:r>
        <w:rPr>
          <w:rFonts w:hint="eastAsia"/>
          <w:b/>
          <w:u w:val="single"/>
        </w:rPr>
        <w:t>文物保护单位保护</w:t>
      </w:r>
      <w:r>
        <w:rPr>
          <w:b/>
          <w:u w:val="single"/>
        </w:rPr>
        <w:t>范围内</w:t>
      </w:r>
      <w:r>
        <w:rPr>
          <w:rFonts w:hint="eastAsia"/>
          <w:b/>
          <w:u w:val="single"/>
        </w:rPr>
        <w:t>的保护首先</w:t>
      </w:r>
      <w:r>
        <w:rPr>
          <w:b/>
          <w:u w:val="single"/>
        </w:rPr>
        <w:t>要</w:t>
      </w:r>
      <w:r>
        <w:rPr>
          <w:rFonts w:hint="eastAsia"/>
          <w:b/>
          <w:u w:val="single"/>
        </w:rPr>
        <w:t>严格遵照《中华人民共和国文物保护法》的规定。</w:t>
      </w:r>
    </w:p>
    <w:p>
      <w:pPr>
        <w:ind w:firstLine="482"/>
        <w:rPr>
          <w:b/>
          <w:u w:val="single"/>
        </w:rPr>
      </w:pPr>
      <w:r>
        <w:rPr>
          <w:rFonts w:hint="eastAsia"/>
          <w:b/>
          <w:u w:val="single"/>
        </w:rPr>
        <w:t>在城市紫线范围内确定各类建设项目，必须先由市、县人民政府城乡规划行政主管部门依据保护规划进行审查，组织专家论证并进行公示后核发选址意见书。</w:t>
      </w:r>
    </w:p>
    <w:p>
      <w:pPr>
        <w:ind w:firstLine="482"/>
      </w:pPr>
      <w:r>
        <w:rPr>
          <w:rFonts w:hint="eastAsia"/>
          <w:b/>
          <w:u w:val="single"/>
        </w:rPr>
        <w:t>在城市紫线范围内进行新建或者改建各类建筑物、构筑物和其他设施，对规划确定保护的建筑物、构筑物和其他设施进行修缮和维修以及改变建筑物、构筑物的使用性质，应当依照相关法律、法规的规定，办理相关手续后方可进行。</w:t>
      </w:r>
    </w:p>
    <w:p>
      <w:pPr>
        <w:pStyle w:val="78"/>
      </w:pPr>
      <w:bookmarkStart w:id="72" w:name="_Toc3889210"/>
      <w:r>
        <w:rPr>
          <w:rFonts w:hint="eastAsia"/>
        </w:rPr>
        <w:t>历史城区保护</w:t>
      </w:r>
      <w:bookmarkEnd w:id="71"/>
      <w:bookmarkEnd w:id="72"/>
    </w:p>
    <w:p>
      <w:pPr>
        <w:pStyle w:val="76"/>
        <w:ind w:left="704"/>
        <w:rPr>
          <w:color w:val="auto"/>
        </w:rPr>
      </w:pPr>
      <w:bookmarkStart w:id="73" w:name="_Toc497180812"/>
      <w:bookmarkStart w:id="74" w:name="_Toc3889211"/>
      <w:r>
        <w:rPr>
          <w:rFonts w:hint="eastAsia"/>
          <w:color w:val="auto"/>
        </w:rPr>
        <w:t>历史城区</w:t>
      </w:r>
      <w:r>
        <w:rPr>
          <w:color w:val="auto"/>
        </w:rPr>
        <w:t>保护界线</w:t>
      </w:r>
      <w:bookmarkEnd w:id="73"/>
      <w:bookmarkEnd w:id="74"/>
    </w:p>
    <w:p>
      <w:pPr>
        <w:ind w:firstLine="480"/>
        <w:rPr>
          <w:b/>
          <w:u w:val="single"/>
        </w:rPr>
      </w:pPr>
      <w:r>
        <w:rPr>
          <w:rFonts w:hint="eastAsia" w:ascii="宋体" w:hAnsi="宋体"/>
        </w:rPr>
        <w:t>以红军城为基础，结合自然水系东河边界以及四至道路范围，划定历史城区范围为</w:t>
      </w:r>
      <w:r>
        <w:rPr>
          <w:rFonts w:hint="eastAsia" w:ascii="宋体" w:hAnsi="宋体"/>
          <w:b/>
          <w:u w:val="single"/>
        </w:rPr>
        <w:t>西至滨河路、东至东河小学东侧道路、南至红军城路、北至沙坝街。历史城区</w:t>
      </w:r>
      <w:r>
        <w:rPr>
          <w:rFonts w:hint="eastAsia"/>
          <w:b/>
          <w:u w:val="single"/>
        </w:rPr>
        <w:t>面积为26.77公顷。</w:t>
      </w:r>
    </w:p>
    <w:p>
      <w:pPr>
        <w:pStyle w:val="76"/>
        <w:ind w:left="704"/>
        <w:rPr>
          <w:color w:val="auto"/>
        </w:rPr>
      </w:pPr>
      <w:bookmarkStart w:id="75" w:name="_Toc3889212"/>
      <w:bookmarkStart w:id="76" w:name="_Toc497180813"/>
      <w:r>
        <w:rPr>
          <w:color w:val="auto"/>
        </w:rPr>
        <w:t>保护要素</w:t>
      </w:r>
      <w:bookmarkEnd w:id="75"/>
    </w:p>
    <w:p>
      <w:pPr>
        <w:ind w:firstLine="480"/>
      </w:pPr>
      <w:r>
        <w:rPr>
          <w:rFonts w:hint="eastAsia"/>
        </w:rPr>
        <w:t>对</w:t>
      </w:r>
      <w:r>
        <w:t>3</w:t>
      </w:r>
      <w:r>
        <w:rPr>
          <w:rFonts w:hint="eastAsia"/>
        </w:rPr>
        <w:t>大类共</w:t>
      </w:r>
      <w:r>
        <w:t>7</w:t>
      </w:r>
      <w:r>
        <w:rPr>
          <w:rFonts w:hint="eastAsia"/>
        </w:rPr>
        <w:t>小类要素进行保护：保护红军城周边的山水形胜自然资源，包括山体水系；保护红军城空间格局，包括街巷格局、视线通廊等要素；保护物质文化遗产，包括文物保护单位、尚未核定公布为文物保护单位的不可移动文物和传统风貌建筑等。</w:t>
      </w:r>
    </w:p>
    <w:p>
      <w:pPr>
        <w:pStyle w:val="76"/>
        <w:ind w:left="704"/>
        <w:rPr>
          <w:color w:val="auto"/>
        </w:rPr>
      </w:pPr>
      <w:bookmarkStart w:id="77" w:name="_Toc3889213"/>
      <w:r>
        <w:rPr>
          <w:rFonts w:hint="eastAsia"/>
          <w:color w:val="auto"/>
        </w:rPr>
        <w:t>历史城区保护格局</w:t>
      </w:r>
      <w:bookmarkEnd w:id="77"/>
    </w:p>
    <w:p>
      <w:pPr>
        <w:ind w:firstLine="482"/>
      </w:pPr>
      <w:r>
        <w:rPr>
          <w:b/>
        </w:rPr>
        <w:t>规划形成</w:t>
      </w:r>
      <w:r>
        <w:rPr>
          <w:rFonts w:hint="eastAsia"/>
          <w:b/>
        </w:rPr>
        <w:t>“鱼骨轴线、两个街区、两类街巷”的历史城区保护格局。</w:t>
      </w:r>
      <w:r>
        <w:rPr>
          <w:rFonts w:hint="eastAsia" w:ascii="宋体" w:hAnsi="宋体"/>
        </w:rPr>
        <w:t>严格保护以文昌街、王庙街、龙潭街、木市巷为骨架的鱼骨形街道，保护文保单位和历史建筑、传统风貌建筑集中的历史文化街区（</w:t>
      </w:r>
      <w:r>
        <w:rPr>
          <w:rFonts w:hint="eastAsia"/>
        </w:rPr>
        <w:t>文昌街和龙潭街组成的历史文化街区、王庙街历史文化街区</w:t>
      </w:r>
      <w:r>
        <w:rPr>
          <w:rFonts w:hint="eastAsia" w:ascii="宋体" w:hAnsi="宋体"/>
        </w:rPr>
        <w:t>），</w:t>
      </w:r>
      <w:r>
        <w:rPr>
          <w:rFonts w:hint="eastAsia"/>
        </w:rPr>
        <w:t>保护传统街巷（严格保护的街巷、一般保护的街巷）。</w:t>
      </w:r>
    </w:p>
    <w:bookmarkEnd w:id="76"/>
    <w:p>
      <w:pPr>
        <w:pStyle w:val="76"/>
        <w:ind w:left="704"/>
        <w:rPr>
          <w:color w:val="auto"/>
        </w:rPr>
      </w:pPr>
      <w:bookmarkStart w:id="78" w:name="_Toc497180817"/>
      <w:bookmarkStart w:id="79" w:name="_Toc3889214"/>
      <w:r>
        <w:rPr>
          <w:rFonts w:hint="eastAsia"/>
          <w:color w:val="auto"/>
        </w:rPr>
        <w:t>鱼骨状传统街巷（格局）保护</w:t>
      </w:r>
      <w:bookmarkEnd w:id="78"/>
      <w:bookmarkEnd w:id="79"/>
    </w:p>
    <w:p>
      <w:pPr>
        <w:pStyle w:val="79"/>
        <w:numPr>
          <w:ilvl w:val="0"/>
          <w:numId w:val="26"/>
        </w:numPr>
        <w:ind w:firstLineChars="0"/>
      </w:pPr>
      <w:r>
        <w:rPr>
          <w:rFonts w:hint="eastAsia"/>
        </w:rPr>
        <w:t>严格保护的街巷</w:t>
      </w:r>
    </w:p>
    <w:p>
      <w:pPr>
        <w:spacing w:line="360" w:lineRule="auto"/>
        <w:ind w:firstLine="482"/>
        <w:rPr>
          <w:rFonts w:ascii="宋体" w:hAnsi="宋体"/>
          <w:b/>
          <w:u w:val="single"/>
        </w:rPr>
      </w:pPr>
      <w:r>
        <w:rPr>
          <w:rFonts w:hint="eastAsia" w:ascii="宋体" w:hAnsi="宋体"/>
          <w:b/>
          <w:u w:val="single"/>
        </w:rPr>
        <w:t>严格保护的街巷包括：文昌街、龙潭街、王庙街、木市巷以及东河小学南侧连接红军湖广场与东河人行廊桥的道路，构成“鱼骨状”街巷格局的核心骨架。</w:t>
      </w:r>
    </w:p>
    <w:p>
      <w:pPr>
        <w:spacing w:line="360" w:lineRule="auto"/>
        <w:ind w:firstLine="482"/>
        <w:rPr>
          <w:rFonts w:ascii="宋体" w:hAnsi="宋体"/>
          <w:b/>
          <w:u w:val="single"/>
        </w:rPr>
      </w:pPr>
      <w:r>
        <w:rPr>
          <w:rFonts w:hint="eastAsia" w:ascii="宋体" w:hAnsi="宋体"/>
          <w:b/>
          <w:u w:val="single"/>
        </w:rPr>
        <w:t>此类街巷应严格保护街巷的走向、格局、尺度、街巷界面、风貌特征、街巷名称，不得进行道路拓宽，市政基础设施的敷设需采取综合管沟等变通方式。对其两侧建筑的高度、体量、形态和色彩进行严格控制，要求贴原有建筑线建设，保证界面连续性。不协调的建筑物、构筑物、违章搭建建筑和架空市政管线等逐步进行清理整治，保持历史传统街巷风貌。</w:t>
      </w:r>
    </w:p>
    <w:p>
      <w:pPr>
        <w:pStyle w:val="79"/>
        <w:numPr>
          <w:ilvl w:val="0"/>
          <w:numId w:val="27"/>
        </w:numPr>
        <w:ind w:firstLineChars="0"/>
      </w:pPr>
      <w:r>
        <w:rPr>
          <w:rFonts w:hint="eastAsia"/>
        </w:rPr>
        <w:t>一般保护的街巷</w:t>
      </w:r>
    </w:p>
    <w:p>
      <w:pPr>
        <w:spacing w:line="360" w:lineRule="auto"/>
        <w:ind w:firstLine="482"/>
        <w:rPr>
          <w:rFonts w:ascii="宋体" w:hAnsi="宋体"/>
          <w:b/>
          <w:u w:val="single"/>
        </w:rPr>
      </w:pPr>
      <w:r>
        <w:rPr>
          <w:rFonts w:hint="eastAsia" w:ascii="宋体" w:hAnsi="宋体"/>
          <w:b/>
          <w:u w:val="single"/>
        </w:rPr>
        <w:t>一般保护街巷需要保护街巷的走向和名称，两侧新建改建的建筑高度、风貌应与规划确定的历史城区整体风貌相协调，可以局部拓宽以保证道路畅通。同时应通过街头小品、路牌、铺地、绿地等方式进行重点标识，真实完整的反映其承载的历史信息。</w:t>
      </w:r>
    </w:p>
    <w:p>
      <w:pPr>
        <w:spacing w:line="360" w:lineRule="auto"/>
        <w:ind w:firstLine="482"/>
        <w:rPr>
          <w:rFonts w:ascii="宋体" w:hAnsi="宋体"/>
          <w:b/>
          <w:u w:val="single"/>
        </w:rPr>
      </w:pPr>
      <w:r>
        <w:rPr>
          <w:rFonts w:hint="eastAsia" w:ascii="宋体" w:hAnsi="宋体"/>
          <w:b/>
          <w:u w:val="single"/>
        </w:rPr>
        <w:t>此类街巷为历史城区内除严格保护街巷以外的其他街巷。</w:t>
      </w:r>
    </w:p>
    <w:p>
      <w:pPr>
        <w:pStyle w:val="76"/>
        <w:ind w:left="704"/>
        <w:rPr>
          <w:color w:val="auto"/>
        </w:rPr>
      </w:pPr>
      <w:bookmarkStart w:id="80" w:name="_Toc3889215"/>
      <w:bookmarkStart w:id="81" w:name="_Toc497180821"/>
      <w:r>
        <w:rPr>
          <w:rFonts w:hint="eastAsia"/>
          <w:color w:val="auto"/>
        </w:rPr>
        <w:t>建筑</w:t>
      </w:r>
      <w:r>
        <w:rPr>
          <w:color w:val="auto"/>
        </w:rPr>
        <w:t>高度与</w:t>
      </w:r>
      <w:r>
        <w:rPr>
          <w:rFonts w:hint="eastAsia"/>
          <w:color w:val="auto"/>
        </w:rPr>
        <w:t>视线通廊</w:t>
      </w:r>
      <w:r>
        <w:rPr>
          <w:color w:val="auto"/>
        </w:rPr>
        <w:t>控制</w:t>
      </w:r>
      <w:bookmarkEnd w:id="80"/>
    </w:p>
    <w:p>
      <w:pPr>
        <w:pStyle w:val="79"/>
        <w:numPr>
          <w:ilvl w:val="0"/>
          <w:numId w:val="28"/>
        </w:numPr>
        <w:ind w:firstLineChars="0"/>
      </w:pPr>
      <w:r>
        <w:rPr>
          <w:rFonts w:hint="eastAsia"/>
        </w:rPr>
        <w:t>建筑高度控制</w:t>
      </w:r>
    </w:p>
    <w:p>
      <w:pPr>
        <w:ind w:firstLine="480"/>
      </w:pPr>
      <w:r>
        <w:rPr>
          <w:rFonts w:hint="eastAsia"/>
        </w:rPr>
        <w:t>历史城区的建筑高度控制分为保留高度区、一类控制区、二类控制区和三类控制区。</w:t>
      </w:r>
    </w:p>
    <w:p>
      <w:pPr>
        <w:ind w:firstLine="482"/>
        <w:rPr>
          <w:b/>
        </w:rPr>
      </w:pPr>
      <w:r>
        <w:rPr>
          <w:rFonts w:hint="eastAsia"/>
          <w:b/>
          <w:u w:val="single"/>
        </w:rPr>
        <w:t>保留高度区：文物保护单位建筑占地四至边界以内，严格按照现有建筑高度保护。</w:t>
      </w:r>
      <w:r>
        <w:rPr>
          <w:rFonts w:hint="eastAsia"/>
          <w:b/>
        </w:rPr>
        <w:t>文物保护单位保护范围内建设应根据文物保护单位保护规划要求进行控制。文物保护单位保护范围与历史文化街区核心保护范围重叠的区域，应按照从严的原则进行控制，即文物保护单位</w:t>
      </w:r>
      <w:r>
        <w:rPr>
          <w:b/>
        </w:rPr>
        <w:t>&gt;</w:t>
      </w:r>
      <w:r>
        <w:rPr>
          <w:rFonts w:hint="eastAsia"/>
          <w:b/>
        </w:rPr>
        <w:t>历史文化街区。</w:t>
      </w:r>
    </w:p>
    <w:p>
      <w:pPr>
        <w:spacing w:before="163" w:beforeLines="50" w:after="163" w:afterLines="50" w:line="460" w:lineRule="exact"/>
        <w:ind w:firstLine="482"/>
        <w:rPr>
          <w:u w:val="single"/>
        </w:rPr>
      </w:pPr>
      <w:r>
        <w:rPr>
          <w:rFonts w:hint="eastAsia"/>
          <w:b/>
          <w:u w:val="single"/>
        </w:rPr>
        <w:t>一类控制区：核心保护范围内除去文物保护单位的区域，</w:t>
      </w:r>
      <w:r>
        <w:rPr>
          <w:rFonts w:hint="eastAsia"/>
          <w:u w:val="single"/>
        </w:rPr>
        <w:t>周边相邻地块形成过渡协调，严格控制建筑物高度，不得破坏保护单位的环境风貌。</w:t>
      </w:r>
      <w:r>
        <w:rPr>
          <w:rFonts w:hint="eastAsia" w:ascii="宋体" w:hAnsi="宋体"/>
          <w:b/>
          <w:u w:val="single"/>
        </w:rPr>
        <w:t>建筑屋脊线高度不超过</w:t>
      </w:r>
      <w:r>
        <w:rPr>
          <w:rFonts w:hint="eastAsia"/>
          <w:b/>
          <w:u w:val="single"/>
        </w:rPr>
        <w:t>8米。</w:t>
      </w:r>
    </w:p>
    <w:p>
      <w:pPr>
        <w:ind w:firstLine="482"/>
        <w:rPr>
          <w:b/>
          <w:u w:val="single"/>
        </w:rPr>
      </w:pPr>
      <w:r>
        <w:rPr>
          <w:rFonts w:hint="eastAsia"/>
          <w:b/>
          <w:u w:val="single"/>
        </w:rPr>
        <w:t>二类控制区：主要包括建设控制地带，</w:t>
      </w:r>
      <w:r>
        <w:rPr>
          <w:rFonts w:hint="eastAsia" w:ascii="宋体" w:hAnsi="宋体"/>
          <w:b/>
          <w:u w:val="single"/>
        </w:rPr>
        <w:t>建筑屋脊线高度不超过</w:t>
      </w:r>
      <w:r>
        <w:rPr>
          <w:rFonts w:hint="eastAsia"/>
          <w:b/>
          <w:u w:val="single"/>
        </w:rPr>
        <w:t>12米。</w:t>
      </w:r>
    </w:p>
    <w:p>
      <w:pPr>
        <w:ind w:firstLine="482"/>
        <w:rPr>
          <w:b/>
          <w:u w:val="single"/>
        </w:rPr>
      </w:pPr>
      <w:r>
        <w:rPr>
          <w:rFonts w:hint="eastAsia"/>
          <w:b/>
          <w:u w:val="single"/>
        </w:rPr>
        <w:t>三类控制区：历史城区内保留高度区、一类控制区、二类控制区以外的区域，</w:t>
      </w:r>
      <w:r>
        <w:rPr>
          <w:rFonts w:hint="eastAsia" w:ascii="宋体" w:hAnsi="宋体"/>
          <w:b/>
          <w:u w:val="single"/>
        </w:rPr>
        <w:t>建筑屋脊线高度不超过</w:t>
      </w:r>
      <w:r>
        <w:rPr>
          <w:rFonts w:hint="eastAsia"/>
          <w:b/>
          <w:u w:val="single"/>
        </w:rPr>
        <w:t>21米。</w:t>
      </w:r>
    </w:p>
    <w:p>
      <w:pPr>
        <w:pStyle w:val="79"/>
        <w:numPr>
          <w:ilvl w:val="0"/>
          <w:numId w:val="26"/>
        </w:numPr>
        <w:ind w:firstLineChars="0"/>
      </w:pPr>
      <w:r>
        <w:rPr>
          <w:rFonts w:hint="eastAsia"/>
        </w:rPr>
        <w:t>视线通廊控制</w:t>
      </w:r>
    </w:p>
    <w:p>
      <w:pPr>
        <w:ind w:firstLine="480"/>
      </w:pPr>
      <w:r>
        <w:t>历史城区内视廊</w:t>
      </w:r>
      <w:r>
        <w:rPr>
          <w:rFonts w:hint="eastAsia"/>
        </w:rPr>
        <w:t>由</w:t>
      </w:r>
      <w:r>
        <w:t>传统街巷构成</w:t>
      </w:r>
      <w:r>
        <w:rPr>
          <w:rFonts w:hint="eastAsia"/>
        </w:rPr>
        <w:t>。包括文昌街视线</w:t>
      </w:r>
      <w:r>
        <w:t>通廊</w:t>
      </w:r>
      <w:r>
        <w:rPr>
          <w:rFonts w:hint="eastAsia"/>
        </w:rPr>
        <w:t>、</w:t>
      </w:r>
      <w:r>
        <w:t>木</w:t>
      </w:r>
      <w:r>
        <w:rPr>
          <w:rFonts w:hint="eastAsia"/>
        </w:rPr>
        <w:t>市</w:t>
      </w:r>
      <w:r>
        <w:t>巷</w:t>
      </w:r>
      <w:r>
        <w:rPr>
          <w:rFonts w:hint="eastAsia"/>
        </w:rPr>
        <w:t>视线</w:t>
      </w:r>
      <w:r>
        <w:t>通廊、龙潭街</w:t>
      </w:r>
      <w:r>
        <w:rPr>
          <w:rFonts w:hint="eastAsia"/>
        </w:rPr>
        <w:t>视线</w:t>
      </w:r>
      <w:r>
        <w:t>通廊、王庙街</w:t>
      </w:r>
      <w:r>
        <w:rPr>
          <w:rFonts w:hint="eastAsia"/>
        </w:rPr>
        <w:t>视线</w:t>
      </w:r>
      <w:r>
        <w:t>通廊</w:t>
      </w:r>
      <w:r>
        <w:rPr>
          <w:rFonts w:hint="eastAsia"/>
        </w:rPr>
        <w:t>、何家巷视线</w:t>
      </w:r>
      <w:r>
        <w:t>通廊</w:t>
      </w:r>
      <w:r>
        <w:rPr>
          <w:rFonts w:hint="eastAsia"/>
        </w:rPr>
        <w:t>，</w:t>
      </w:r>
      <w:r>
        <w:t>合计5</w:t>
      </w:r>
      <w:r>
        <w:rPr>
          <w:rFonts w:hint="eastAsia"/>
        </w:rPr>
        <w:t>条视线通廊。</w:t>
      </w:r>
    </w:p>
    <w:p>
      <w:pPr>
        <w:ind w:firstLine="482"/>
        <w:rPr>
          <w:b/>
          <w:u w:val="single"/>
        </w:rPr>
      </w:pPr>
      <w:r>
        <w:rPr>
          <w:rFonts w:hint="eastAsia"/>
          <w:b/>
          <w:u w:val="single"/>
        </w:rPr>
        <w:t>在视廊内，不得新建超高建筑及有碍景观的建筑。对现有超高建筑及有碍景观的建筑应在远景采取降层、拆除或搬迁。</w:t>
      </w:r>
    </w:p>
    <w:p>
      <w:pPr>
        <w:ind w:firstLine="480"/>
      </w:pPr>
      <w:r>
        <w:rPr>
          <w:rFonts w:hint="eastAsia"/>
        </w:rPr>
        <w:t>视线通廊两侧建筑风貌维持现状川北木建筑、沿街立面悬挂排排红旗的特色，外围建筑风貌整治不得破坏视线通廊的川北民居与红军文化风貌的完整性。视线通廊两侧商业业态应合理布局。维持现状街道走向、宽度、材质、铺装，完善垃圾桶、路灯等基础设施。</w:t>
      </w:r>
    </w:p>
    <w:p>
      <w:pPr>
        <w:ind w:firstLine="482"/>
      </w:pPr>
      <w:r>
        <w:rPr>
          <w:rFonts w:hint="eastAsia" w:ascii="宋体" w:hAnsi="宋体"/>
          <w:b/>
          <w:u w:val="single"/>
        </w:rPr>
        <w:t>历史</w:t>
      </w:r>
      <w:r>
        <w:rPr>
          <w:rFonts w:ascii="宋体" w:hAnsi="宋体"/>
          <w:b/>
          <w:u w:val="single"/>
        </w:rPr>
        <w:t>城区及周边区域</w:t>
      </w:r>
      <w:r>
        <w:rPr>
          <w:rFonts w:hint="eastAsia" w:ascii="宋体" w:hAnsi="宋体"/>
          <w:b/>
          <w:u w:val="single"/>
        </w:rPr>
        <w:t>的</w:t>
      </w:r>
      <w:r>
        <w:rPr>
          <w:rFonts w:ascii="宋体" w:hAnsi="宋体"/>
          <w:b/>
          <w:u w:val="single"/>
        </w:rPr>
        <w:t>地块</w:t>
      </w:r>
      <w:r>
        <w:rPr>
          <w:rFonts w:hint="eastAsia" w:ascii="宋体" w:hAnsi="宋体"/>
          <w:b/>
          <w:u w:val="single"/>
        </w:rPr>
        <w:t>方案设计，应开展与周边文物保护单位的协调研究以及重要景观廊道关系研究。</w:t>
      </w:r>
    </w:p>
    <w:p>
      <w:pPr>
        <w:pStyle w:val="76"/>
        <w:ind w:left="704"/>
        <w:rPr>
          <w:color w:val="auto"/>
        </w:rPr>
      </w:pPr>
      <w:bookmarkStart w:id="82" w:name="_Toc3889216"/>
      <w:r>
        <w:rPr>
          <w:rFonts w:hint="eastAsia"/>
          <w:color w:val="auto"/>
        </w:rPr>
        <w:t>风貌控制与引导</w:t>
      </w:r>
      <w:bookmarkEnd w:id="81"/>
      <w:bookmarkEnd w:id="82"/>
    </w:p>
    <w:p>
      <w:pPr>
        <w:pStyle w:val="79"/>
        <w:numPr>
          <w:ilvl w:val="0"/>
          <w:numId w:val="29"/>
        </w:numPr>
        <w:ind w:firstLineChars="0"/>
      </w:pPr>
      <w:r>
        <w:t>历史城区风貌保护结构</w:t>
      </w:r>
    </w:p>
    <w:p>
      <w:pPr>
        <w:spacing w:line="360" w:lineRule="auto"/>
        <w:ind w:firstLine="480"/>
        <w:rPr>
          <w:rFonts w:ascii="宋体" w:hAnsi="宋体"/>
        </w:rPr>
      </w:pPr>
      <w:r>
        <w:rPr>
          <w:rFonts w:hint="eastAsia" w:ascii="宋体" w:hAnsi="宋体"/>
        </w:rPr>
        <w:t>历史城区风貌保护结构为“四轴、两区、多带”。</w:t>
      </w:r>
    </w:p>
    <w:p>
      <w:pPr>
        <w:spacing w:line="360" w:lineRule="auto"/>
        <w:ind w:firstLine="480"/>
        <w:rPr>
          <w:rFonts w:ascii="宋体" w:hAnsi="宋体"/>
        </w:rPr>
      </w:pPr>
      <w:r>
        <w:rPr>
          <w:rFonts w:hint="eastAsia" w:ascii="宋体" w:hAnsi="宋体"/>
        </w:rPr>
        <w:t>“四轴”：文昌街、</w:t>
      </w:r>
      <w:r>
        <w:rPr>
          <w:rFonts w:ascii="宋体" w:hAnsi="宋体"/>
        </w:rPr>
        <w:t>木</w:t>
      </w:r>
      <w:r>
        <w:rPr>
          <w:rFonts w:hint="eastAsia" w:ascii="宋体" w:hAnsi="宋体"/>
        </w:rPr>
        <w:t>市</w:t>
      </w:r>
      <w:r>
        <w:rPr>
          <w:rFonts w:ascii="宋体" w:hAnsi="宋体"/>
        </w:rPr>
        <w:t>巷、龙潭街、王庙街</w:t>
      </w:r>
      <w:r>
        <w:rPr>
          <w:rFonts w:hint="eastAsia" w:ascii="宋体" w:hAnsi="宋体"/>
        </w:rPr>
        <w:t>形成的4条历史文化景观轴。街巷红军文化氛围浓厚，为红军城主要的红色文化风貌区。</w:t>
      </w:r>
    </w:p>
    <w:p>
      <w:pPr>
        <w:spacing w:line="360" w:lineRule="auto"/>
        <w:ind w:firstLine="480"/>
        <w:rPr>
          <w:rFonts w:ascii="宋体" w:hAnsi="宋体"/>
        </w:rPr>
      </w:pPr>
      <w:r>
        <w:rPr>
          <w:rFonts w:hint="eastAsia" w:ascii="宋体" w:hAnsi="宋体"/>
        </w:rPr>
        <w:t>“两区”：历史城区整体为风貌协调区，历史城区核心保护范围为历史文化街区；</w:t>
      </w:r>
    </w:p>
    <w:p>
      <w:pPr>
        <w:spacing w:line="360" w:lineRule="auto"/>
        <w:ind w:firstLine="480"/>
        <w:rPr>
          <w:rFonts w:ascii="宋体" w:hAnsi="宋体"/>
        </w:rPr>
      </w:pPr>
      <w:r>
        <w:rPr>
          <w:rFonts w:hint="eastAsia" w:ascii="宋体" w:hAnsi="宋体"/>
        </w:rPr>
        <w:t>“多带”：东河河岸风貌保护带以及多条传统巷道形成的历史街巷风貌保护带。</w:t>
      </w:r>
    </w:p>
    <w:p>
      <w:pPr>
        <w:pStyle w:val="79"/>
        <w:numPr>
          <w:ilvl w:val="0"/>
          <w:numId w:val="26"/>
        </w:numPr>
        <w:ind w:firstLineChars="0"/>
      </w:pPr>
      <w:r>
        <w:rPr>
          <w:rFonts w:hint="eastAsia"/>
        </w:rPr>
        <w:t>总体风貌控制要求</w:t>
      </w:r>
    </w:p>
    <w:p>
      <w:pPr>
        <w:spacing w:line="360" w:lineRule="auto"/>
        <w:ind w:firstLine="480"/>
      </w:pPr>
      <w:r>
        <w:rPr>
          <w:rFonts w:hint="eastAsia"/>
        </w:rPr>
        <w:t>新建、改建建筑要尊重旺苍地方特色，按照“整体协调、重点保护”的原则对历史城区的整体风貌进行严格保护，着力加强对历史文化街区、视线通廊涉及区域的建筑风貌的控制。并且严格控制主要轴线、道路两侧、滨水地带的建筑风格、尺度、色彩，充分展现红军城风貌特色。</w:t>
      </w:r>
    </w:p>
    <w:p>
      <w:pPr>
        <w:pStyle w:val="79"/>
        <w:numPr>
          <w:ilvl w:val="0"/>
          <w:numId w:val="26"/>
        </w:numPr>
        <w:ind w:firstLineChars="0"/>
      </w:pPr>
      <w:r>
        <w:rPr>
          <w:rFonts w:hint="eastAsia"/>
        </w:rPr>
        <w:t>拟拆除建筑</w:t>
      </w:r>
    </w:p>
    <w:p>
      <w:pPr>
        <w:ind w:firstLine="480"/>
      </w:pPr>
      <w:r>
        <w:rPr>
          <w:rFonts w:hint="eastAsia"/>
        </w:rPr>
        <w:t>根据总体规划用地要求和开发建设难度评估，前期拆除历史城区内破坏滨河风貌、传统风貌的工业厂房，拆除面积约5.71公顷。整体搬迁至总规确定的工业用地中，集中布局。拆除的空地用于完善历史城区公共服务设施配套，塑造开敞空间，新建建筑风貌与滨水生态景观风貌、历史城区传统风貌相协调。</w:t>
      </w:r>
    </w:p>
    <w:p>
      <w:pPr>
        <w:pStyle w:val="76"/>
        <w:ind w:left="704"/>
        <w:rPr>
          <w:color w:val="auto"/>
        </w:rPr>
      </w:pPr>
      <w:bookmarkStart w:id="83" w:name="_Toc3889217"/>
      <w:bookmarkStart w:id="84" w:name="_Toc497180823"/>
      <w:r>
        <w:rPr>
          <w:rFonts w:hint="eastAsia"/>
          <w:color w:val="auto"/>
        </w:rPr>
        <w:t>功能定位与用地调整建议</w:t>
      </w:r>
      <w:bookmarkEnd w:id="83"/>
    </w:p>
    <w:p>
      <w:pPr>
        <w:spacing w:line="360" w:lineRule="auto"/>
        <w:ind w:firstLine="480"/>
        <w:rPr>
          <w:rFonts w:ascii="宋体" w:hAnsi="宋体"/>
        </w:rPr>
      </w:pPr>
      <w:r>
        <w:rPr>
          <w:rFonts w:hint="eastAsia" w:ascii="宋体" w:hAnsi="宋体"/>
        </w:rPr>
        <w:t>功能定位：历史城区为与文化展示、文化产业、旅游服务配套、传统民俗商贸、居住为主要功能。</w:t>
      </w:r>
    </w:p>
    <w:p>
      <w:pPr>
        <w:ind w:firstLine="480"/>
      </w:pPr>
      <w:r>
        <w:t>历史城区内用地调整建议如下</w:t>
      </w:r>
      <w:r>
        <w:rPr>
          <w:rFonts w:hint="eastAsia"/>
        </w:rPr>
        <w:t>，</w:t>
      </w:r>
      <w:r>
        <w:rPr>
          <w:rFonts w:hint="eastAsia"/>
          <w:b/>
          <w:u w:val="single"/>
        </w:rPr>
        <w:t>实际实施中以依法批复的《旺苍县县域镇村体系规划和旺苍县城市总体规划（2</w:t>
      </w:r>
      <w:r>
        <w:rPr>
          <w:b/>
          <w:u w:val="single"/>
        </w:rPr>
        <w:t>017</w:t>
      </w:r>
      <w:r>
        <w:rPr>
          <w:rFonts w:hint="eastAsia"/>
          <w:b/>
          <w:u w:val="single"/>
        </w:rPr>
        <w:t>-</w:t>
      </w:r>
      <w:r>
        <w:rPr>
          <w:b/>
          <w:u w:val="single"/>
        </w:rPr>
        <w:t>2035年</w:t>
      </w:r>
      <w:r>
        <w:rPr>
          <w:rFonts w:hint="eastAsia"/>
          <w:b/>
          <w:u w:val="single"/>
        </w:rPr>
        <w:t>）》和控制性详细规划用地为准</w:t>
      </w:r>
      <w:r>
        <w:rPr>
          <w:rFonts w:hint="eastAsia"/>
        </w:rPr>
        <w:t>：</w:t>
      </w:r>
    </w:p>
    <w:p>
      <w:pPr>
        <w:ind w:firstLine="480"/>
      </w:pPr>
      <w:r>
        <w:rPr>
          <w:rFonts w:hint="eastAsia"/>
        </w:rPr>
        <w:t>（</w:t>
      </w:r>
      <w:r>
        <w:t>1</w:t>
      </w:r>
      <w:r>
        <w:rPr>
          <w:rFonts w:hint="eastAsia"/>
        </w:rPr>
        <w:t>）优化滨河界面用地的公共性，培育城市滨江活力；</w:t>
      </w:r>
    </w:p>
    <w:p>
      <w:pPr>
        <w:ind w:firstLine="480"/>
      </w:pPr>
      <w:r>
        <w:rPr>
          <w:rFonts w:hint="eastAsia"/>
        </w:rPr>
        <w:t>（</w:t>
      </w:r>
      <w:r>
        <w:t>2</w:t>
      </w:r>
      <w:r>
        <w:rPr>
          <w:rFonts w:hint="eastAsia"/>
        </w:rPr>
        <w:t>）将工业用地置换为广场、绿地等公益型开敞空间；</w:t>
      </w:r>
    </w:p>
    <w:p>
      <w:pPr>
        <w:ind w:firstLine="480"/>
      </w:pPr>
      <w:r>
        <w:rPr>
          <w:rFonts w:hint="eastAsia"/>
        </w:rPr>
        <w:t>（</w:t>
      </w:r>
      <w:r>
        <w:t>3</w:t>
      </w:r>
      <w:r>
        <w:rPr>
          <w:rFonts w:hint="eastAsia"/>
        </w:rPr>
        <w:t>）取消现状摩托车、三轮车停车场用地，逐步实现红军城全步行；</w:t>
      </w:r>
    </w:p>
    <w:p>
      <w:pPr>
        <w:ind w:firstLine="480"/>
      </w:pPr>
      <w:r>
        <w:rPr>
          <w:rFonts w:hint="eastAsia"/>
        </w:rPr>
        <w:t>（</w:t>
      </w:r>
      <w:r>
        <w:t>4</w:t>
      </w:r>
      <w:r>
        <w:rPr>
          <w:rFonts w:hint="eastAsia"/>
        </w:rPr>
        <w:t>）完善市政基础设施，改善人居环境。</w:t>
      </w:r>
    </w:p>
    <w:p>
      <w:pPr>
        <w:pStyle w:val="76"/>
        <w:ind w:left="704"/>
        <w:rPr>
          <w:color w:val="auto"/>
        </w:rPr>
      </w:pPr>
      <w:bookmarkStart w:id="85" w:name="_Toc3889218"/>
      <w:r>
        <w:rPr>
          <w:color w:val="auto"/>
        </w:rPr>
        <w:t>人口容量与社区规划调整建议</w:t>
      </w:r>
      <w:bookmarkEnd w:id="85"/>
    </w:p>
    <w:p>
      <w:pPr>
        <w:ind w:firstLine="480"/>
      </w:pPr>
      <w:r>
        <w:rPr>
          <w:rFonts w:hint="eastAsia"/>
        </w:rPr>
        <w:t>降低人口密度，优化人口结构。控制历史城区范围内的新增住宅建筑，逐步引导历史城区范围内人口向城市其他片区疏解，以控制历史城区人口规模。用地调整后，建议居住人口约1.4万人；引入旅游服务、文化展演等功能，提高旅游服务业、文化产业的从业人员比例。</w:t>
      </w:r>
    </w:p>
    <w:p>
      <w:pPr>
        <w:ind w:firstLine="480"/>
      </w:pPr>
      <w:r>
        <w:rPr>
          <w:rFonts w:hint="eastAsia"/>
        </w:rPr>
        <w:t>优化业态，改善市容。现状红军城建筑功能为商住，规划将对沿业态进行差异化设置，提高旅游服务水平，优化沿街市容市貌。同时通过违法建设治理，工业用地置换，增加开敞空间。对东河小学南侧的老旧单位大院、传统民居进行设施现代化改造和整治修缮，提高居民居住品质。</w:t>
      </w:r>
    </w:p>
    <w:p>
      <w:pPr>
        <w:pStyle w:val="76"/>
        <w:ind w:left="704"/>
        <w:rPr>
          <w:color w:val="auto"/>
        </w:rPr>
      </w:pPr>
      <w:bookmarkStart w:id="86" w:name="_Toc3889219"/>
      <w:r>
        <w:rPr>
          <w:rFonts w:hint="eastAsia"/>
          <w:color w:val="auto"/>
        </w:rPr>
        <w:t>道路及市政</w:t>
      </w:r>
      <w:r>
        <w:rPr>
          <w:color w:val="auto"/>
        </w:rPr>
        <w:t>基础设施整治</w:t>
      </w:r>
      <w:bookmarkEnd w:id="84"/>
      <w:bookmarkEnd w:id="86"/>
    </w:p>
    <w:p>
      <w:pPr>
        <w:pStyle w:val="79"/>
        <w:numPr>
          <w:ilvl w:val="0"/>
          <w:numId w:val="30"/>
        </w:numPr>
        <w:ind w:firstLineChars="0"/>
      </w:pPr>
      <w:bookmarkStart w:id="87" w:name="_Toc497180824"/>
      <w:bookmarkStart w:id="88" w:name="_Toc471928700"/>
      <w:r>
        <w:rPr>
          <w:rFonts w:hint="eastAsia"/>
        </w:rPr>
        <w:t>道路交通调整</w:t>
      </w:r>
    </w:p>
    <w:bookmarkEnd w:id="87"/>
    <w:bookmarkEnd w:id="88"/>
    <w:p>
      <w:pPr>
        <w:ind w:firstLine="480"/>
      </w:pPr>
      <w:r>
        <w:rPr>
          <w:rFonts w:hint="eastAsia"/>
        </w:rPr>
        <w:t>调整王街庙、木市巷、龙潭街、文昌街的道路红线宽度为5米，北端增设一条通往滨河路的支路。其他现状街巷和地块内部道路要满足消防以及疏散要求，后续根据控制性详细规划进一步调整。</w:t>
      </w:r>
    </w:p>
    <w:p>
      <w:pPr>
        <w:pStyle w:val="79"/>
        <w:numPr>
          <w:ilvl w:val="0"/>
          <w:numId w:val="27"/>
        </w:numPr>
        <w:ind w:firstLineChars="0"/>
      </w:pPr>
      <w:bookmarkStart w:id="89" w:name="_Toc497180825"/>
      <w:r>
        <w:rPr>
          <w:rFonts w:hint="eastAsia"/>
        </w:rPr>
        <w:t>道路工程建设引导</w:t>
      </w:r>
      <w:bookmarkEnd w:id="89"/>
    </w:p>
    <w:p>
      <w:pPr>
        <w:ind w:firstLine="480"/>
      </w:pPr>
      <w:r>
        <w:rPr>
          <w:rFonts w:hint="eastAsia"/>
        </w:rPr>
        <w:t>交通组织以疏导为主。</w:t>
      </w:r>
    </w:p>
    <w:p>
      <w:pPr>
        <w:ind w:firstLine="480"/>
      </w:pPr>
      <w:r>
        <w:rPr>
          <w:rFonts w:hint="eastAsia"/>
        </w:rPr>
        <w:t>优先发展公共交通、步行和自行车交通；结合整体交通组织，设置自行车和行人专用道、步行区，营造人性化的交通环境。</w:t>
      </w:r>
    </w:p>
    <w:p>
      <w:pPr>
        <w:ind w:firstLine="480"/>
      </w:pPr>
      <w:r>
        <w:rPr>
          <w:rFonts w:hint="eastAsia"/>
        </w:rPr>
        <w:t>控制机动车停车位的供给，完善停车收费和管理制度。</w:t>
      </w:r>
    </w:p>
    <w:p>
      <w:pPr>
        <w:ind w:firstLine="480"/>
      </w:pPr>
      <w:r>
        <w:rPr>
          <w:rFonts w:hint="eastAsia"/>
        </w:rPr>
        <w:t>富有特色的街巷，保持原有的空间尺度。</w:t>
      </w:r>
    </w:p>
    <w:p>
      <w:pPr>
        <w:ind w:firstLine="480"/>
      </w:pPr>
      <w:r>
        <w:rPr>
          <w:rFonts w:hint="eastAsia"/>
        </w:rPr>
        <w:t>历史城区内道路、停车场等交通设施的形式满足历史风貌的管理要求。</w:t>
      </w:r>
    </w:p>
    <w:p>
      <w:pPr>
        <w:pStyle w:val="79"/>
        <w:numPr>
          <w:ilvl w:val="0"/>
          <w:numId w:val="27"/>
        </w:numPr>
        <w:ind w:firstLineChars="0"/>
      </w:pPr>
      <w:bookmarkStart w:id="90" w:name="_Toc497180826"/>
      <w:r>
        <w:rPr>
          <w:rFonts w:hint="eastAsia"/>
        </w:rPr>
        <w:t>市政工程建设引导</w:t>
      </w:r>
      <w:bookmarkEnd w:id="90"/>
    </w:p>
    <w:p>
      <w:pPr>
        <w:ind w:firstLine="480"/>
      </w:pPr>
      <w:r>
        <w:rPr>
          <w:rFonts w:hint="eastAsia"/>
        </w:rPr>
        <w:t>改善市政基础设施，提高城区生活环境质量。在满足保护要求的前提下采取适宜的技术措施进行处理。</w:t>
      </w:r>
    </w:p>
    <w:p>
      <w:pPr>
        <w:pStyle w:val="79"/>
        <w:numPr>
          <w:ilvl w:val="0"/>
          <w:numId w:val="27"/>
        </w:numPr>
        <w:ind w:firstLineChars="0"/>
      </w:pPr>
      <w:bookmarkStart w:id="91" w:name="_Toc471928702"/>
      <w:bookmarkStart w:id="92" w:name="_Toc497180827"/>
      <w:r>
        <w:rPr>
          <w:rFonts w:hint="eastAsia"/>
        </w:rPr>
        <w:t>防灾和环境保护</w:t>
      </w:r>
      <w:bookmarkEnd w:id="91"/>
      <w:bookmarkEnd w:id="92"/>
    </w:p>
    <w:p>
      <w:pPr>
        <w:ind w:firstLine="480"/>
      </w:pPr>
      <w:r>
        <w:rPr>
          <w:rFonts w:hint="eastAsia"/>
        </w:rPr>
        <w:t>规划明确了5个疏散方向以及数</w:t>
      </w:r>
      <w:r>
        <w:t>条</w:t>
      </w:r>
      <w:r>
        <w:rPr>
          <w:rFonts w:hint="eastAsia"/>
        </w:rPr>
        <w:t>消防疏散线路，确定</w:t>
      </w:r>
      <w:r>
        <w:rPr>
          <w:rFonts w:hint="eastAsia"/>
          <w:b/>
          <w:u w:val="single"/>
        </w:rPr>
        <w:t>历史城区1处人防指挥中心，5处停车场作为避难场所。</w:t>
      </w:r>
      <w:r>
        <w:rPr>
          <w:rFonts w:hint="eastAsia"/>
        </w:rPr>
        <w:t>划定了防洪堤控制线路。</w:t>
      </w:r>
    </w:p>
    <w:p>
      <w:pPr>
        <w:ind w:firstLine="480"/>
      </w:pPr>
      <w:r>
        <w:rPr>
          <w:rFonts w:hint="eastAsia"/>
        </w:rPr>
        <w:t>防灾和环境保护设施应满足历史城区保护历史风貌的要求。</w:t>
      </w:r>
    </w:p>
    <w:p>
      <w:pPr>
        <w:ind w:firstLine="480"/>
      </w:pPr>
      <w:r>
        <w:rPr>
          <w:rFonts w:hint="eastAsia"/>
        </w:rPr>
        <w:t>历史城区必须健全防灾安全体系，重视火灾及其它灾害产生的次生灾害的防治。</w:t>
      </w:r>
    </w:p>
    <w:p>
      <w:pPr>
        <w:ind w:firstLine="480"/>
      </w:pPr>
      <w:r>
        <w:rPr>
          <w:rFonts w:hint="eastAsia"/>
        </w:rPr>
        <w:t>历史城区内不得布置生产、贮存易燃易爆、有毒有害危险物品的工厂和仓库。</w:t>
      </w:r>
    </w:p>
    <w:p>
      <w:pPr>
        <w:pStyle w:val="78"/>
      </w:pPr>
      <w:bookmarkStart w:id="93" w:name="_Toc3889220"/>
      <w:r>
        <w:rPr>
          <w:rFonts w:hint="eastAsia"/>
        </w:rPr>
        <w:t>历史文化街区保护</w:t>
      </w:r>
      <w:bookmarkEnd w:id="93"/>
    </w:p>
    <w:p>
      <w:pPr>
        <w:pStyle w:val="76"/>
        <w:ind w:left="704"/>
        <w:rPr>
          <w:color w:val="auto"/>
        </w:rPr>
      </w:pPr>
      <w:bookmarkStart w:id="94" w:name="_Toc497180829"/>
      <w:bookmarkStart w:id="95" w:name="_Toc3889221"/>
      <w:r>
        <w:rPr>
          <w:rFonts w:hint="eastAsia"/>
          <w:color w:val="auto"/>
        </w:rPr>
        <w:t>历史文化街区</w:t>
      </w:r>
      <w:bookmarkEnd w:id="94"/>
      <w:r>
        <w:rPr>
          <w:rFonts w:hint="eastAsia"/>
          <w:color w:val="auto"/>
        </w:rPr>
        <w:t>划定</w:t>
      </w:r>
      <w:bookmarkEnd w:id="95"/>
    </w:p>
    <w:p>
      <w:pPr>
        <w:ind w:firstLine="480"/>
        <w:rPr>
          <w:rFonts w:ascii="宋体" w:hAnsi="宋体"/>
        </w:rPr>
      </w:pPr>
      <w:r>
        <w:rPr>
          <w:rFonts w:hint="eastAsia"/>
        </w:rPr>
        <w:t>划定县域共</w:t>
      </w:r>
      <w:r>
        <w:t>3</w:t>
      </w:r>
      <w:r>
        <w:rPr>
          <w:rFonts w:hint="eastAsia"/>
        </w:rPr>
        <w:t>片</w:t>
      </w:r>
      <w:r>
        <w:rPr>
          <w:rFonts w:ascii="宋体" w:hAnsi="宋体"/>
        </w:rPr>
        <w:t>历史</w:t>
      </w:r>
      <w:r>
        <w:rPr>
          <w:rFonts w:hint="eastAsia" w:ascii="宋体" w:hAnsi="宋体"/>
        </w:rPr>
        <w:t>文化街区</w:t>
      </w:r>
      <w:r>
        <w:rPr>
          <w:rFonts w:ascii="宋体" w:hAnsi="宋体"/>
        </w:rPr>
        <w:t>.包括</w:t>
      </w:r>
      <w:r>
        <w:rPr>
          <w:rFonts w:hint="eastAsia" w:ascii="宋体" w:hAnsi="宋体"/>
        </w:rPr>
        <w:t>：</w:t>
      </w:r>
    </w:p>
    <w:p>
      <w:pPr>
        <w:ind w:firstLine="480"/>
        <w:rPr>
          <w:rFonts w:ascii="宋体" w:hAnsi="宋体"/>
        </w:rPr>
      </w:pPr>
      <w:r>
        <w:rPr>
          <w:rFonts w:ascii="宋体" w:hAnsi="宋体"/>
        </w:rPr>
        <w:t>1</w:t>
      </w:r>
      <w:r>
        <w:rPr>
          <w:rFonts w:hint="eastAsia" w:ascii="宋体" w:hAnsi="宋体"/>
        </w:rPr>
        <w:t>、2015年广元市人民政府公布的市级历史文化街区——水磨乡场镇；</w:t>
      </w:r>
    </w:p>
    <w:p>
      <w:pPr>
        <w:ind w:firstLine="480"/>
        <w:rPr>
          <w:rFonts w:ascii="宋体" w:hAnsi="宋体"/>
        </w:rPr>
      </w:pPr>
      <w:r>
        <w:rPr>
          <w:rFonts w:ascii="宋体" w:hAnsi="宋体"/>
        </w:rPr>
        <w:t>2</w:t>
      </w:r>
      <w:r>
        <w:rPr>
          <w:rFonts w:hint="eastAsia" w:ascii="宋体" w:hAnsi="宋体"/>
        </w:rPr>
        <w:t>、本次规划拟划定的中心城区文昌街和龙潭街组成的历史文化街区——为红军党、政、军主要机关遗迹；</w:t>
      </w:r>
    </w:p>
    <w:p>
      <w:pPr>
        <w:ind w:firstLine="480"/>
        <w:rPr>
          <w:rFonts w:ascii="宋体" w:hAnsi="宋体"/>
        </w:rPr>
      </w:pPr>
      <w:r>
        <w:rPr>
          <w:rFonts w:ascii="宋体" w:hAnsi="宋体"/>
        </w:rPr>
        <w:t>3</w:t>
      </w:r>
      <w:r>
        <w:rPr>
          <w:rFonts w:hint="eastAsia" w:ascii="宋体" w:hAnsi="宋体"/>
        </w:rPr>
        <w:t>、本次规划拟划定的中心城区王庙街历史文化街区——为民居历史遗迹。</w:t>
      </w:r>
    </w:p>
    <w:p>
      <w:pPr>
        <w:pStyle w:val="76"/>
        <w:ind w:left="704"/>
        <w:rPr>
          <w:color w:val="auto"/>
        </w:rPr>
      </w:pPr>
      <w:bookmarkStart w:id="96" w:name="_Toc497180831"/>
      <w:bookmarkStart w:id="97" w:name="_Toc3889222"/>
      <w:r>
        <w:rPr>
          <w:rFonts w:hint="eastAsia"/>
          <w:color w:val="auto"/>
        </w:rPr>
        <w:t>保护原则</w:t>
      </w:r>
      <w:bookmarkEnd w:id="96"/>
      <w:bookmarkEnd w:id="97"/>
    </w:p>
    <w:p>
      <w:pPr>
        <w:spacing w:line="360" w:lineRule="auto"/>
        <w:ind w:firstLine="480"/>
        <w:rPr>
          <w:rFonts w:ascii="宋体" w:hAnsi="宋体"/>
        </w:rPr>
      </w:pPr>
      <w:r>
        <w:rPr>
          <w:rFonts w:hint="eastAsia" w:ascii="宋体" w:hAnsi="宋体"/>
        </w:rPr>
        <w:t>1、保存历史遗存的原物，保护历史风貌和历史信息的真实载体；</w:t>
      </w:r>
    </w:p>
    <w:p>
      <w:pPr>
        <w:spacing w:line="360" w:lineRule="auto"/>
        <w:ind w:firstLine="480"/>
        <w:rPr>
          <w:rFonts w:ascii="宋体" w:hAnsi="宋体"/>
        </w:rPr>
      </w:pPr>
      <w:r>
        <w:rPr>
          <w:rFonts w:ascii="宋体" w:hAnsi="宋体"/>
        </w:rPr>
        <w:t>2</w:t>
      </w:r>
      <w:r>
        <w:rPr>
          <w:rFonts w:hint="eastAsia" w:ascii="宋体" w:hAnsi="宋体"/>
        </w:rPr>
        <w:t>、突出整体风貌特色的保护，适当更新，逐步恢复；</w:t>
      </w:r>
    </w:p>
    <w:p>
      <w:pPr>
        <w:spacing w:line="360" w:lineRule="auto"/>
        <w:ind w:firstLine="480"/>
        <w:rPr>
          <w:rFonts w:ascii="宋体" w:hAnsi="宋体"/>
        </w:rPr>
      </w:pPr>
      <w:r>
        <w:rPr>
          <w:rFonts w:ascii="宋体" w:hAnsi="宋体"/>
        </w:rPr>
        <w:t>3</w:t>
      </w:r>
      <w:r>
        <w:rPr>
          <w:rFonts w:hint="eastAsia" w:ascii="宋体" w:hAnsi="宋体"/>
        </w:rPr>
        <w:t>、保护和合理开发使用相结合；</w:t>
      </w:r>
    </w:p>
    <w:p>
      <w:pPr>
        <w:spacing w:line="360" w:lineRule="auto"/>
        <w:ind w:firstLine="480"/>
        <w:rPr>
          <w:rFonts w:ascii="宋体" w:hAnsi="宋体"/>
        </w:rPr>
      </w:pPr>
      <w:r>
        <w:rPr>
          <w:rFonts w:ascii="宋体" w:hAnsi="宋体"/>
        </w:rPr>
        <w:t>4</w:t>
      </w:r>
      <w:r>
        <w:rPr>
          <w:rFonts w:hint="eastAsia" w:ascii="宋体" w:hAnsi="宋体"/>
        </w:rPr>
        <w:t>、积极改善基础设施，整治环境，提高居民生活质量。</w:t>
      </w:r>
    </w:p>
    <w:p>
      <w:pPr>
        <w:pStyle w:val="76"/>
        <w:ind w:left="704"/>
        <w:rPr>
          <w:color w:val="auto"/>
        </w:rPr>
      </w:pPr>
      <w:bookmarkStart w:id="98" w:name="_Toc3889223"/>
      <w:bookmarkStart w:id="99" w:name="_Toc497180836"/>
      <w:r>
        <w:rPr>
          <w:rFonts w:hint="eastAsia"/>
          <w:color w:val="auto"/>
        </w:rPr>
        <w:t>保护内容及要求</w:t>
      </w:r>
      <w:bookmarkEnd w:id="98"/>
    </w:p>
    <w:p>
      <w:pPr>
        <w:ind w:firstLine="482"/>
        <w:rPr>
          <w:b/>
          <w:u w:val="single"/>
        </w:rPr>
      </w:pPr>
      <w:r>
        <w:rPr>
          <w:rFonts w:hint="eastAsia"/>
          <w:b/>
          <w:u w:val="single"/>
        </w:rPr>
        <w:t>1、</w:t>
      </w:r>
      <w:r>
        <w:rPr>
          <w:b/>
          <w:u w:val="single"/>
        </w:rPr>
        <w:t>历史文化街区内应保护文物古迹、保护建筑、历史建筑与历史环境要素。</w:t>
      </w:r>
    </w:p>
    <w:p>
      <w:pPr>
        <w:pStyle w:val="62"/>
        <w:ind w:firstLine="480"/>
        <w:rPr>
          <w:sz w:val="24"/>
          <w:szCs w:val="24"/>
        </w:rPr>
      </w:pPr>
      <w:r>
        <w:rPr>
          <w:rFonts w:hint="eastAsia"/>
          <w:sz w:val="24"/>
          <w:szCs w:val="24"/>
        </w:rPr>
        <w:t>2、历史文化街区增建设施的外观、绿化布局与植物配置应符合历史风貌的保护要求。</w:t>
      </w:r>
    </w:p>
    <w:p>
      <w:pPr>
        <w:ind w:firstLine="480"/>
      </w:pPr>
      <w:r>
        <w:t>3</w:t>
      </w:r>
      <w:r>
        <w:rPr>
          <w:rFonts w:hint="eastAsia"/>
        </w:rPr>
        <w:t>、</w:t>
      </w:r>
      <w:r>
        <w:t>位于历史文化街区外的历史建筑群，应按照历史文化街区内保护历史建筑的要求予以保护。</w:t>
      </w:r>
    </w:p>
    <w:p>
      <w:pPr>
        <w:pStyle w:val="62"/>
        <w:ind w:firstLine="480"/>
        <w:rPr>
          <w:sz w:val="24"/>
          <w:szCs w:val="24"/>
        </w:rPr>
      </w:pPr>
      <w:r>
        <w:rPr>
          <w:sz w:val="24"/>
          <w:szCs w:val="24"/>
        </w:rPr>
        <w:t>4</w:t>
      </w:r>
      <w:r>
        <w:rPr>
          <w:rFonts w:hint="eastAsia"/>
          <w:sz w:val="24"/>
          <w:szCs w:val="24"/>
        </w:rPr>
        <w:t>、历史文化街区的道路交通、市政工程、防灾和环境保护规划应符合最新版《历史文化名城保护规划规范》的要求。</w:t>
      </w:r>
    </w:p>
    <w:bookmarkEnd w:id="99"/>
    <w:p>
      <w:pPr>
        <w:pStyle w:val="76"/>
        <w:ind w:left="704"/>
        <w:rPr>
          <w:color w:val="auto"/>
        </w:rPr>
      </w:pPr>
      <w:bookmarkStart w:id="100" w:name="_Toc497180834"/>
      <w:bookmarkStart w:id="101" w:name="_Toc3889224"/>
      <w:r>
        <w:rPr>
          <w:color w:val="auto"/>
        </w:rPr>
        <w:t>核心保护范围</w:t>
      </w:r>
      <w:bookmarkEnd w:id="100"/>
      <w:r>
        <w:rPr>
          <w:color w:val="auto"/>
        </w:rPr>
        <w:t>划定依据及建设控制要求</w:t>
      </w:r>
      <w:bookmarkEnd w:id="101"/>
    </w:p>
    <w:p>
      <w:pPr>
        <w:spacing w:line="360" w:lineRule="auto"/>
        <w:ind w:firstLine="480"/>
        <w:rPr>
          <w:rFonts w:ascii="宋体" w:hAnsi="宋体"/>
        </w:rPr>
      </w:pPr>
      <w:r>
        <w:rPr>
          <w:rFonts w:ascii="宋体" w:hAnsi="宋体"/>
        </w:rPr>
        <w:t>根据</w:t>
      </w:r>
      <w:r>
        <w:rPr>
          <w:rFonts w:hint="eastAsia" w:ascii="宋体" w:hAnsi="宋体"/>
        </w:rPr>
        <w:t>《历史文化名城保护规划规范（G</w:t>
      </w:r>
      <w:r>
        <w:rPr>
          <w:rFonts w:ascii="宋体" w:hAnsi="宋体"/>
        </w:rPr>
        <w:t>B50357</w:t>
      </w:r>
      <w:r>
        <w:rPr>
          <w:rFonts w:hint="eastAsia" w:ascii="宋体" w:hAnsi="宋体"/>
        </w:rPr>
        <w:t>-</w:t>
      </w:r>
      <w:r>
        <w:rPr>
          <w:rFonts w:ascii="宋体" w:hAnsi="宋体"/>
        </w:rPr>
        <w:t>2005</w:t>
      </w:r>
      <w:r>
        <w:rPr>
          <w:rFonts w:hint="eastAsia" w:ascii="宋体" w:hAnsi="宋体"/>
        </w:rPr>
        <w:t>）》，</w:t>
      </w:r>
      <w:r>
        <w:rPr>
          <w:rFonts w:ascii="宋体" w:hAnsi="宋体"/>
        </w:rPr>
        <w:t>历史文化街区保护界线的划定应按下列要求</w:t>
      </w:r>
      <w:r>
        <w:rPr>
          <w:rFonts w:hint="eastAsia" w:ascii="宋体" w:hAnsi="宋体"/>
        </w:rPr>
        <w:t>：</w:t>
      </w:r>
    </w:p>
    <w:p>
      <w:pPr>
        <w:spacing w:line="360" w:lineRule="auto"/>
        <w:ind w:firstLine="480"/>
        <w:rPr>
          <w:rFonts w:ascii="宋体" w:hAnsi="宋体"/>
        </w:rPr>
      </w:pPr>
      <w:r>
        <w:rPr>
          <w:rFonts w:ascii="宋体" w:hAnsi="宋体"/>
        </w:rPr>
        <w:t>1文物古迹或历史建筑的现状用地边界</w:t>
      </w:r>
      <w:r>
        <w:rPr>
          <w:rFonts w:hint="eastAsia" w:ascii="宋体" w:hAnsi="宋体"/>
        </w:rPr>
        <w:t>；</w:t>
      </w:r>
    </w:p>
    <w:p>
      <w:pPr>
        <w:spacing w:line="360" w:lineRule="auto"/>
        <w:ind w:firstLine="480"/>
        <w:rPr>
          <w:rFonts w:ascii="宋体" w:hAnsi="宋体"/>
        </w:rPr>
      </w:pPr>
      <w:r>
        <w:rPr>
          <w:rFonts w:ascii="宋体" w:hAnsi="宋体"/>
        </w:rPr>
        <w:t>2在街道、广场、河流等处视线所及范围内的建筑物用地边界或外观界面</w:t>
      </w:r>
      <w:r>
        <w:rPr>
          <w:rFonts w:hint="eastAsia" w:ascii="宋体" w:hAnsi="宋体"/>
        </w:rPr>
        <w:t>；</w:t>
      </w:r>
    </w:p>
    <w:p>
      <w:pPr>
        <w:spacing w:line="360" w:lineRule="auto"/>
        <w:ind w:firstLine="480"/>
        <w:rPr>
          <w:rFonts w:ascii="宋体" w:hAnsi="宋体"/>
        </w:rPr>
      </w:pPr>
      <w:r>
        <w:rPr>
          <w:rFonts w:ascii="宋体" w:hAnsi="宋体"/>
        </w:rPr>
        <w:t>3构成历史风貌的自然景观边界。</w:t>
      </w:r>
    </w:p>
    <w:p>
      <w:pPr>
        <w:spacing w:line="360" w:lineRule="auto"/>
        <w:ind w:firstLine="480"/>
        <w:rPr>
          <w:rFonts w:ascii="宋体" w:hAnsi="宋体"/>
          <w:b/>
          <w:u w:val="single"/>
        </w:rPr>
      </w:pPr>
      <w:r>
        <w:rPr>
          <w:rFonts w:hint="eastAsia" w:ascii="宋体" w:hAnsi="宋体"/>
        </w:rPr>
        <w:t>传统格局和风貌：核心保护范围内应保持传统格局、历史风貌和空间尺度，不得改变与其相互依存的自然景观和环境。</w:t>
      </w:r>
      <w:r>
        <w:rPr>
          <w:rFonts w:hint="eastAsia" w:ascii="宋体" w:hAnsi="宋体"/>
          <w:b/>
          <w:u w:val="single"/>
        </w:rPr>
        <w:t>不得擅自改变街区空间格局和文物古迹、历史建筑、具有传统风貌建筑原有外观特征。对核心保护范围的传统风貌建筑和古遗址、古墓应提出建筑高度、体量、外观形象及色彩、材料等控制要求，保护历史风貌特征。</w:t>
      </w:r>
    </w:p>
    <w:p>
      <w:pPr>
        <w:spacing w:line="360" w:lineRule="auto"/>
        <w:ind w:firstLine="482"/>
        <w:rPr>
          <w:rFonts w:ascii="宋体" w:hAnsi="宋体"/>
          <w:b/>
          <w:u w:val="single"/>
        </w:rPr>
      </w:pPr>
      <w:r>
        <w:rPr>
          <w:rFonts w:hint="eastAsia"/>
          <w:b/>
          <w:u w:val="single"/>
        </w:rPr>
        <w:t>建（构）筑物的保护：分类保护。历史建筑保持原有高度、体量、外观形象和色彩。</w:t>
      </w:r>
    </w:p>
    <w:p>
      <w:pPr>
        <w:spacing w:line="360" w:lineRule="auto"/>
        <w:ind w:firstLine="482"/>
        <w:rPr>
          <w:rFonts w:ascii="宋体" w:hAnsi="宋体"/>
          <w:b/>
          <w:u w:val="single"/>
        </w:rPr>
      </w:pPr>
      <w:r>
        <w:rPr>
          <w:rFonts w:hint="eastAsia" w:ascii="宋体" w:hAnsi="宋体"/>
          <w:b/>
          <w:u w:val="single"/>
        </w:rPr>
        <w:t>建（构）筑物的新建、扩建、改建、拆除：该区域内不得进行新建、扩建活动，但新建、扩建的必要的基础设施和公共服务设施除外。经批准允许新建、扩建必要的基础设施和公共服务设施的，应与街区历史风貌相协调。对现有建筑进行改建时，应当保持或者恢复其历史风貌。核心保护范围内，拆除历史建筑以外的建筑物、构筑物或者其他设施的，应当经相关部门批准。</w:t>
      </w:r>
    </w:p>
    <w:p>
      <w:pPr>
        <w:spacing w:line="360" w:lineRule="auto"/>
        <w:ind w:firstLine="482"/>
        <w:rPr>
          <w:rFonts w:ascii="宋体" w:hAnsi="宋体"/>
          <w:b/>
          <w:u w:val="single"/>
        </w:rPr>
      </w:pPr>
      <w:r>
        <w:rPr>
          <w:rFonts w:hint="eastAsia" w:ascii="宋体" w:hAnsi="宋体"/>
          <w:b/>
          <w:u w:val="single"/>
        </w:rPr>
        <w:t>基础设施和公共服务设施：新建、扩建必要的基础设施和公共服务设施在旺苍县城乡规划行政主管部门核发建设工程规划许可证前，应征求县文物行政主管部门意见。消防栓、消防水资源（取水口）、防火墙等消防设施、消防通道应当按照有关的消防技术标准和规范设置。确因保护需要，无法按照标准和规范设置的，由旺苍县消防部门会同城乡规划行政主管部门制定相应的防火安全保障方案。不得擅自新建、扩建道路，对现有道路进行改建时，应当保持或者恢复其原有的道路格局、街巷界面风貌和景观特征。</w:t>
      </w:r>
    </w:p>
    <w:p>
      <w:pPr>
        <w:spacing w:line="360" w:lineRule="auto"/>
        <w:ind w:firstLine="482"/>
        <w:rPr>
          <w:rFonts w:ascii="宋体" w:hAnsi="宋体"/>
          <w:b/>
          <w:u w:val="single"/>
        </w:rPr>
      </w:pPr>
      <w:r>
        <w:rPr>
          <w:rFonts w:hint="eastAsia" w:ascii="宋体" w:hAnsi="宋体"/>
          <w:b/>
          <w:u w:val="single"/>
        </w:rPr>
        <w:t>标识系统：应当在历史文化街区核心保护范围的主要出入口设置标志牌。任何单位和个人不得擅自设置、移动、涂改或者损毁标志牌。</w:t>
      </w:r>
    </w:p>
    <w:p>
      <w:pPr>
        <w:pStyle w:val="76"/>
        <w:ind w:left="704"/>
        <w:rPr>
          <w:color w:val="auto"/>
        </w:rPr>
      </w:pPr>
      <w:bookmarkStart w:id="102" w:name="_Toc497180835"/>
      <w:bookmarkStart w:id="103" w:name="_Toc3889225"/>
      <w:r>
        <w:rPr>
          <w:rFonts w:hint="eastAsia"/>
          <w:color w:val="auto"/>
        </w:rPr>
        <w:t>建设</w:t>
      </w:r>
      <w:r>
        <w:rPr>
          <w:color w:val="auto"/>
        </w:rPr>
        <w:t>控制地带</w:t>
      </w:r>
      <w:bookmarkEnd w:id="102"/>
      <w:r>
        <w:rPr>
          <w:rFonts w:hint="eastAsia"/>
          <w:color w:val="auto"/>
        </w:rPr>
        <w:t>划定依据</w:t>
      </w:r>
      <w:r>
        <w:rPr>
          <w:color w:val="auto"/>
        </w:rPr>
        <w:t>及建设控制要求</w:t>
      </w:r>
      <w:bookmarkEnd w:id="103"/>
    </w:p>
    <w:p>
      <w:pPr>
        <w:ind w:firstLine="480"/>
        <w:rPr>
          <w:rFonts w:ascii="宋体" w:hAnsi="宋体"/>
        </w:rPr>
      </w:pPr>
      <w:r>
        <w:rPr>
          <w:rFonts w:ascii="宋体" w:hAnsi="宋体"/>
        </w:rPr>
        <w:t>根据</w:t>
      </w:r>
      <w:r>
        <w:rPr>
          <w:rFonts w:hint="eastAsia" w:ascii="宋体" w:hAnsi="宋体"/>
        </w:rPr>
        <w:t>《历史文化名城保护规划规范（G</w:t>
      </w:r>
      <w:r>
        <w:rPr>
          <w:rFonts w:ascii="宋体" w:hAnsi="宋体"/>
        </w:rPr>
        <w:t>B50357</w:t>
      </w:r>
      <w:r>
        <w:rPr>
          <w:rFonts w:hint="eastAsia" w:ascii="宋体" w:hAnsi="宋体"/>
        </w:rPr>
        <w:t>-</w:t>
      </w:r>
      <w:r>
        <w:rPr>
          <w:rFonts w:ascii="宋体" w:hAnsi="宋体"/>
        </w:rPr>
        <w:t>2005</w:t>
      </w:r>
      <w:r>
        <w:rPr>
          <w:rFonts w:hint="eastAsia" w:ascii="宋体" w:hAnsi="宋体"/>
        </w:rPr>
        <w:t>）》，</w:t>
      </w:r>
      <w:r>
        <w:rPr>
          <w:rFonts w:ascii="宋体" w:hAnsi="宋体"/>
          <w:bCs/>
        </w:rPr>
        <w:t>历史文化街区的外围应划定建设控制地带的具体界线</w:t>
      </w:r>
      <w:r>
        <w:rPr>
          <w:rFonts w:hint="eastAsia" w:ascii="宋体" w:hAnsi="宋体"/>
          <w:bCs/>
        </w:rPr>
        <w:t>。</w:t>
      </w:r>
    </w:p>
    <w:p>
      <w:pPr>
        <w:ind w:firstLine="482"/>
        <w:rPr>
          <w:rFonts w:ascii="宋体" w:hAnsi="宋体"/>
          <w:b/>
          <w:u w:val="single"/>
        </w:rPr>
      </w:pPr>
      <w:r>
        <w:rPr>
          <w:rFonts w:hint="eastAsia" w:ascii="宋体" w:hAnsi="宋体"/>
          <w:b/>
          <w:u w:val="single"/>
        </w:rPr>
        <w:t>历史空间结构和肌理：延续传统的街巷格局，延续原有街巷宽度，使用历史材料和道路铺装。建设控制地带内的建设活动不得损害历史文化遗产的真实性和完整性，不得对其传统格局和历史风貌构成破坏性影响。</w:t>
      </w:r>
    </w:p>
    <w:p>
      <w:pPr>
        <w:ind w:firstLine="482"/>
        <w:rPr>
          <w:b/>
          <w:u w:val="single"/>
        </w:rPr>
      </w:pPr>
      <w:r>
        <w:rPr>
          <w:rFonts w:hint="eastAsia"/>
          <w:b/>
          <w:u w:val="single"/>
        </w:rPr>
        <w:t>建（构）筑物的保护：历史文化街区内文物保护单位的保护与整治方法为修缮；历史文化街区内历史建筑的保护与整治方法为修缮、维修、改善；历史文化街区内传统风貌建筑的保护与整治方法为维修、改善；一般建筑物、构筑物中与历史风貌无冲突的其他建筑物、构筑物的保护与整治方式为保留、维修、改善；一般建筑物、构筑物中与历史风貌有冲突的其他建筑物、构筑物的保护与整治方式为整治、拆除重建、拆除不建；历史文化街区内拆除建筑的再建设，应符合历史风貌的要求。</w:t>
      </w:r>
    </w:p>
    <w:p>
      <w:pPr>
        <w:ind w:firstLine="482"/>
        <w:rPr>
          <w:rFonts w:ascii="宋体" w:hAnsi="宋体"/>
          <w:b/>
          <w:u w:val="single"/>
        </w:rPr>
      </w:pPr>
      <w:r>
        <w:rPr>
          <w:rFonts w:hint="eastAsia" w:ascii="宋体" w:hAnsi="宋体"/>
          <w:b/>
          <w:u w:val="single"/>
        </w:rPr>
        <w:t>建（构）筑物的新建、扩建、改建、拆除：新建、扩建、改建建筑物和构筑物的高度不得破坏历史文化街区整体空间特征。在建设控制地带内新建、扩建、改建建筑的高度、体量、色彩、材质等应与核心保护范围内建筑相协调。新建、扩建、拆除建筑物、构筑物，以及在原有建筑物、构筑物的基础上进行改建、加建等活动前，有关单位和个人应将拟建部分的高度、体量、色彩、使用性质等信息报送县城乡规划主管部门，经批准后方可执行。</w:t>
      </w:r>
    </w:p>
    <w:p>
      <w:pPr>
        <w:ind w:firstLine="482"/>
        <w:rPr>
          <w:rFonts w:ascii="宋体" w:hAnsi="宋体"/>
          <w:b/>
          <w:u w:val="single"/>
        </w:rPr>
      </w:pPr>
      <w:r>
        <w:rPr>
          <w:rFonts w:hint="eastAsia" w:ascii="宋体" w:hAnsi="宋体"/>
          <w:b/>
          <w:u w:val="single"/>
        </w:rPr>
        <w:t>历史环境要素：</w:t>
      </w:r>
      <w:r>
        <w:rPr>
          <w:rFonts w:hint="eastAsia"/>
          <w:b/>
          <w:u w:val="single"/>
        </w:rPr>
        <w:t>历史文化街区内的历史环境要素应列表逐项进行调查统计，历史文化街区内构成历史风貌的环境要素的保护方式应为修缮、维修，历史文化街区内与历史风貌相冲突的环境要素的整治方式应为整治、拆除。</w:t>
      </w:r>
    </w:p>
    <w:p>
      <w:pPr>
        <w:spacing w:line="360" w:lineRule="auto"/>
        <w:ind w:firstLine="482"/>
        <w:rPr>
          <w:b/>
          <w:u w:val="single"/>
        </w:rPr>
      </w:pPr>
      <w:r>
        <w:rPr>
          <w:rFonts w:hint="eastAsia" w:ascii="宋体" w:hAnsi="宋体"/>
          <w:b/>
          <w:u w:val="single"/>
        </w:rPr>
        <w:t>自然环境：保护历史文化街区</w:t>
      </w:r>
      <w:r>
        <w:rPr>
          <w:rFonts w:hint="eastAsia"/>
          <w:b/>
          <w:u w:val="single"/>
        </w:rPr>
        <w:t>周边自然山水格局、人文环境要素；</w:t>
      </w:r>
    </w:p>
    <w:p>
      <w:pPr>
        <w:spacing w:line="360" w:lineRule="auto"/>
        <w:ind w:firstLine="482"/>
        <w:rPr>
          <w:b/>
          <w:u w:val="single"/>
        </w:rPr>
      </w:pPr>
      <w:r>
        <w:rPr>
          <w:rFonts w:hint="eastAsia" w:ascii="宋体" w:hAnsi="宋体"/>
          <w:b/>
          <w:u w:val="single"/>
        </w:rPr>
        <w:t>基础设施和公共服务设施：</w:t>
      </w:r>
      <w:r>
        <w:rPr>
          <w:rFonts w:hint="eastAsia"/>
          <w:b/>
          <w:u w:val="single"/>
        </w:rPr>
        <w:t>历史文化街区内道路的宽度、断面、路缘石半径、消防栓、消防水资源（取水口）、防火墙等消防设施、消防通道的设置等应符合历史风貌的保护要求，道路的整修宜采用传统的路面材料及铺砌方式。宜在历史文化街区以外更大的空间范围内统筹交通设施的布局历史文化街区应优化步行和自行车交通环境，提高公共交通出行的可达性。历史文化街区内的街道宜采用历史上的原有名称。</w:t>
      </w:r>
    </w:p>
    <w:p>
      <w:pPr>
        <w:pStyle w:val="76"/>
        <w:ind w:left="704"/>
        <w:rPr>
          <w:color w:val="auto"/>
        </w:rPr>
      </w:pPr>
      <w:bookmarkStart w:id="104" w:name="_Toc3889226"/>
      <w:r>
        <w:rPr>
          <w:rFonts w:hint="eastAsia"/>
          <w:color w:val="auto"/>
        </w:rPr>
        <w:t>建（构）筑物的保护</w:t>
      </w:r>
      <w:bookmarkEnd w:id="104"/>
    </w:p>
    <w:p>
      <w:pPr>
        <w:ind w:firstLine="482"/>
        <w:rPr>
          <w:rFonts w:ascii="宋体" w:hAnsi="宋体"/>
          <w:b/>
          <w:u w:val="single"/>
        </w:rPr>
      </w:pPr>
      <w:r>
        <w:rPr>
          <w:rFonts w:hint="eastAsia" w:ascii="宋体" w:hAnsi="宋体"/>
          <w:b/>
          <w:u w:val="single"/>
        </w:rPr>
        <w:t>根据《历史文化名城保护规划规范（2017）》，历史文化街区内所有的建筑物、构筑物应按规定选定相应的保护和整治方式，具体如下：</w:t>
      </w:r>
    </w:p>
    <w:p>
      <w:pPr>
        <w:ind w:firstLine="482"/>
        <w:rPr>
          <w:b/>
          <w:u w:val="single"/>
        </w:rPr>
      </w:pPr>
      <w:r>
        <w:rPr>
          <w:rFonts w:hint="eastAsia" w:ascii="宋体" w:hAnsi="宋体"/>
          <w:b/>
          <w:u w:val="single"/>
        </w:rPr>
        <w:t>1、文物保护单位（及已登记尚未核定公布为文物保护单位的不可移动文物）：按照批准的文物保护规划的要求落实保护措施，</w:t>
      </w:r>
      <w:r>
        <w:rPr>
          <w:rFonts w:hint="eastAsia"/>
          <w:b/>
          <w:u w:val="single"/>
        </w:rPr>
        <w:t>保护与整治方</w:t>
      </w:r>
      <w:r>
        <w:rPr>
          <w:rFonts w:hint="eastAsia" w:ascii="宋体" w:hAnsi="宋体"/>
          <w:b/>
          <w:u w:val="single"/>
        </w:rPr>
        <w:t>式</w:t>
      </w:r>
      <w:r>
        <w:rPr>
          <w:rFonts w:hint="eastAsia"/>
          <w:b/>
          <w:u w:val="single"/>
        </w:rPr>
        <w:t>为修缮；</w:t>
      </w:r>
    </w:p>
    <w:p>
      <w:pPr>
        <w:ind w:firstLine="482"/>
        <w:rPr>
          <w:b/>
          <w:u w:val="single"/>
        </w:rPr>
      </w:pPr>
      <w:r>
        <w:rPr>
          <w:b/>
          <w:u w:val="single"/>
        </w:rPr>
        <w:t>2</w:t>
      </w:r>
      <w:r>
        <w:rPr>
          <w:rFonts w:hint="eastAsia"/>
          <w:b/>
          <w:u w:val="single"/>
        </w:rPr>
        <w:t>、历史建筑（及建议历史建筑）：按照《历史文化名城名镇名村保护条例》要求保护，改善设施。保护与整治方</w:t>
      </w:r>
      <w:r>
        <w:rPr>
          <w:rFonts w:hint="eastAsia" w:ascii="宋体" w:hAnsi="宋体"/>
          <w:b/>
          <w:u w:val="single"/>
        </w:rPr>
        <w:t>式</w:t>
      </w:r>
      <w:r>
        <w:rPr>
          <w:rFonts w:hint="eastAsia"/>
          <w:b/>
          <w:u w:val="single"/>
        </w:rPr>
        <w:t>为修缮、维修、改善；</w:t>
      </w:r>
    </w:p>
    <w:p>
      <w:pPr>
        <w:ind w:firstLine="482"/>
        <w:rPr>
          <w:b/>
          <w:u w:val="single"/>
        </w:rPr>
      </w:pPr>
      <w:r>
        <w:rPr>
          <w:rFonts w:hint="eastAsia"/>
          <w:b/>
          <w:u w:val="single"/>
        </w:rPr>
        <w:t>3、传统风貌建筑：保护与整治方</w:t>
      </w:r>
      <w:r>
        <w:rPr>
          <w:rFonts w:hint="eastAsia" w:ascii="宋体" w:hAnsi="宋体"/>
          <w:b/>
          <w:u w:val="single"/>
        </w:rPr>
        <w:t>式</w:t>
      </w:r>
      <w:r>
        <w:rPr>
          <w:rFonts w:hint="eastAsia"/>
          <w:b/>
          <w:u w:val="single"/>
        </w:rPr>
        <w:t>为维修、改善；</w:t>
      </w:r>
    </w:p>
    <w:p>
      <w:pPr>
        <w:ind w:firstLine="482"/>
        <w:rPr>
          <w:b/>
          <w:u w:val="single"/>
        </w:rPr>
      </w:pPr>
      <w:r>
        <w:rPr>
          <w:rFonts w:hint="eastAsia"/>
          <w:b/>
          <w:u w:val="single"/>
        </w:rPr>
        <w:t>4、一般建筑物、构筑物中与历史风貌无冲突的其他建筑物、构筑物：保护与整治方式为保留、维修、改善；</w:t>
      </w:r>
    </w:p>
    <w:p>
      <w:pPr>
        <w:ind w:firstLine="482"/>
        <w:rPr>
          <w:b/>
          <w:u w:val="single"/>
        </w:rPr>
      </w:pPr>
      <w:r>
        <w:rPr>
          <w:b/>
          <w:u w:val="single"/>
        </w:rPr>
        <w:t>5</w:t>
      </w:r>
      <w:r>
        <w:rPr>
          <w:rFonts w:hint="eastAsia"/>
          <w:b/>
          <w:u w:val="single"/>
        </w:rPr>
        <w:t>、一般建筑物、构筑物中与历史风貌有冲突的其他建筑物、构筑物：保护与整治方式为整治、拆除重建、拆除不建；</w:t>
      </w:r>
    </w:p>
    <w:p>
      <w:pPr>
        <w:ind w:firstLine="482"/>
        <w:rPr>
          <w:b/>
          <w:u w:val="single"/>
        </w:rPr>
      </w:pPr>
      <w:r>
        <w:rPr>
          <w:rFonts w:hint="eastAsia"/>
          <w:b/>
          <w:u w:val="single"/>
        </w:rPr>
        <w:t>6、历史文化街区内拆除建筑的再建设，应符合历史风貌的要求。</w:t>
      </w:r>
    </w:p>
    <w:p>
      <w:pPr>
        <w:pStyle w:val="76"/>
        <w:ind w:left="704"/>
        <w:rPr>
          <w:color w:val="auto"/>
        </w:rPr>
      </w:pPr>
      <w:bookmarkStart w:id="105" w:name="_Toc3889227"/>
      <w:r>
        <w:rPr>
          <w:rFonts w:hint="eastAsia"/>
          <w:color w:val="auto"/>
        </w:rPr>
        <w:t>高度控制及风貌控制</w:t>
      </w:r>
      <w:bookmarkEnd w:id="105"/>
    </w:p>
    <w:p>
      <w:pPr>
        <w:pStyle w:val="79"/>
        <w:numPr>
          <w:ilvl w:val="0"/>
          <w:numId w:val="31"/>
        </w:numPr>
        <w:ind w:firstLineChars="0"/>
      </w:pPr>
      <w:r>
        <w:t>高度控制要求</w:t>
      </w:r>
    </w:p>
    <w:p>
      <w:pPr>
        <w:tabs>
          <w:tab w:val="left" w:pos="993"/>
        </w:tabs>
        <w:spacing w:line="360" w:lineRule="auto"/>
        <w:ind w:firstLine="482"/>
        <w:rPr>
          <w:rFonts w:ascii="宋体" w:hAnsi="宋体"/>
          <w:b/>
          <w:u w:val="single"/>
        </w:rPr>
      </w:pPr>
      <w:r>
        <w:rPr>
          <w:rFonts w:hint="eastAsia" w:ascii="宋体" w:hAnsi="宋体"/>
          <w:b/>
          <w:u w:val="single"/>
        </w:rPr>
        <w:t>历史文化</w:t>
      </w:r>
      <w:r>
        <w:rPr>
          <w:rFonts w:ascii="宋体" w:hAnsi="宋体"/>
          <w:b/>
          <w:u w:val="single"/>
        </w:rPr>
        <w:t>街区</w:t>
      </w:r>
      <w:r>
        <w:rPr>
          <w:rFonts w:hint="eastAsia" w:ascii="宋体" w:hAnsi="宋体"/>
          <w:b/>
          <w:u w:val="single"/>
        </w:rPr>
        <w:t>核心保护范围内文物保护单位、历史建筑高度控制维持现状，核心保护范围内，周边相邻其他类建筑不可超过其主体建筑高度；建设控制地带内，周边其他类建筑不宜超过其主体建筑高度1.5 倍。涉及历史城区与历史文化街区高度控制区划重叠区域，依据从严保护的原则执行。</w:t>
      </w:r>
    </w:p>
    <w:p>
      <w:pPr>
        <w:pStyle w:val="79"/>
        <w:numPr>
          <w:ilvl w:val="0"/>
          <w:numId w:val="31"/>
        </w:numPr>
        <w:ind w:firstLineChars="0"/>
      </w:pPr>
      <w:r>
        <w:t>风貌控制要求</w:t>
      </w:r>
    </w:p>
    <w:p>
      <w:pPr>
        <w:tabs>
          <w:tab w:val="left" w:pos="993"/>
        </w:tabs>
        <w:spacing w:line="360" w:lineRule="auto"/>
        <w:ind w:firstLine="480"/>
        <w:rPr>
          <w:rFonts w:ascii="宋体" w:hAnsi="宋体"/>
        </w:rPr>
      </w:pPr>
      <w:r>
        <w:rPr>
          <w:rFonts w:hint="eastAsia" w:ascii="宋体" w:hAnsi="宋体"/>
        </w:rPr>
        <w:t>核心保护范围内应重点历史原貌和历史景观特征，确保</w:t>
      </w:r>
      <w:r>
        <w:rPr>
          <w:rFonts w:hint="eastAsia"/>
        </w:rPr>
        <w:t>文物保护单位、登记不可移动文物、历史建筑、传统风貌建筑</w:t>
      </w:r>
      <w:r>
        <w:rPr>
          <w:rFonts w:hint="eastAsia" w:ascii="宋体" w:hAnsi="宋体"/>
        </w:rPr>
        <w:t>维持原风貌。建设控制地带应当重点注意与核心区内的街巷尺度、建筑高度、建筑体量、形式、材料、色彩等保持协调与有机联系，展示川北地域建筑风格。</w:t>
      </w:r>
    </w:p>
    <w:p>
      <w:pPr>
        <w:tabs>
          <w:tab w:val="left" w:pos="993"/>
        </w:tabs>
        <w:spacing w:line="360" w:lineRule="auto"/>
        <w:ind w:firstLine="480"/>
        <w:rPr>
          <w:rFonts w:ascii="宋体" w:hAnsi="宋体"/>
        </w:rPr>
      </w:pPr>
      <w:r>
        <w:rPr>
          <w:rFonts w:hint="eastAsia" w:ascii="宋体" w:hAnsi="宋体"/>
        </w:rPr>
        <w:t>建筑形式：原有建筑形式不可随意改变，在不影响外观的前提下可做局部整修。新建建筑形式需参考原有建筑形式基础做衍生设计。</w:t>
      </w:r>
    </w:p>
    <w:p>
      <w:pPr>
        <w:tabs>
          <w:tab w:val="left" w:pos="993"/>
        </w:tabs>
        <w:spacing w:line="360" w:lineRule="auto"/>
        <w:ind w:firstLine="480"/>
        <w:rPr>
          <w:rFonts w:ascii="宋体" w:hAnsi="宋体"/>
        </w:rPr>
      </w:pPr>
      <w:r>
        <w:rPr>
          <w:rFonts w:hint="eastAsia" w:ascii="宋体" w:hAnsi="宋体"/>
        </w:rPr>
        <w:t>建筑尺度：建筑体量不可加大及搭建，内部按功能需要可局部维修修缮。新建建筑体量不宜过大，与原有建筑协调统一。</w:t>
      </w:r>
    </w:p>
    <w:p>
      <w:pPr>
        <w:tabs>
          <w:tab w:val="left" w:pos="993"/>
        </w:tabs>
        <w:spacing w:line="360" w:lineRule="auto"/>
        <w:ind w:firstLine="480"/>
        <w:rPr>
          <w:rFonts w:ascii="宋体" w:hAnsi="宋体"/>
        </w:rPr>
      </w:pPr>
      <w:r>
        <w:rPr>
          <w:rFonts w:hint="eastAsia" w:ascii="宋体" w:hAnsi="宋体"/>
        </w:rPr>
        <w:t>建筑色彩：色彩不可随意变化，外墙及装饰门窗色彩必须保留原有川北木建筑特色，局部破损及脱色可按原色补充及修复。新建建筑色彩整体参考周边历史建筑，以古朴简洁为主。</w:t>
      </w:r>
    </w:p>
    <w:p>
      <w:pPr>
        <w:ind w:firstLine="480"/>
        <w:rPr>
          <w:rFonts w:ascii="宋体" w:hAnsi="宋体"/>
        </w:rPr>
      </w:pPr>
      <w:r>
        <w:rPr>
          <w:rFonts w:hint="eastAsia" w:ascii="宋体" w:hAnsi="宋体"/>
        </w:rPr>
        <w:t>建筑材料：及时拆除保护建筑中与传统风貌不符的现代材料，运用协调整体风貌的材料补充。新建建筑材料也需与传统风貌协调。</w:t>
      </w:r>
    </w:p>
    <w:p>
      <w:pPr>
        <w:pStyle w:val="76"/>
        <w:ind w:left="704"/>
        <w:rPr>
          <w:color w:val="auto"/>
        </w:rPr>
      </w:pPr>
      <w:bookmarkStart w:id="106" w:name="_Toc497180837"/>
      <w:bookmarkStart w:id="107" w:name="_Toc3889228"/>
      <w:r>
        <w:rPr>
          <w:rFonts w:hint="eastAsia"/>
          <w:color w:val="auto"/>
        </w:rPr>
        <w:t>市级历史文化街区——水磨乡场镇</w:t>
      </w:r>
      <w:bookmarkEnd w:id="106"/>
      <w:bookmarkEnd w:id="107"/>
    </w:p>
    <w:p>
      <w:pPr>
        <w:ind w:firstLine="480"/>
      </w:pPr>
      <w:r>
        <w:rPr>
          <w:rFonts w:hint="eastAsia" w:ascii="宋体" w:hAnsi="宋体"/>
        </w:rPr>
        <w:t>2015年，广元市人民政府公布水磨乡场镇为市级历史文化街区。</w:t>
      </w:r>
    </w:p>
    <w:p>
      <w:pPr>
        <w:pStyle w:val="79"/>
        <w:numPr>
          <w:ilvl w:val="0"/>
          <w:numId w:val="32"/>
        </w:numPr>
        <w:ind w:firstLineChars="0"/>
      </w:pPr>
      <w:bookmarkStart w:id="108" w:name="_Toc497180841"/>
      <w:r>
        <w:rPr>
          <w:rFonts w:hint="eastAsia"/>
        </w:rPr>
        <w:t>保护</w:t>
      </w:r>
      <w:bookmarkEnd w:id="108"/>
      <w:r>
        <w:rPr>
          <w:rFonts w:hint="eastAsia"/>
        </w:rPr>
        <w:t>界线</w:t>
      </w:r>
    </w:p>
    <w:p>
      <w:pPr>
        <w:ind w:firstLine="482"/>
        <w:rPr>
          <w:rFonts w:ascii="宋体" w:hAnsi="宋体"/>
          <w:b/>
          <w:bCs/>
          <w:u w:val="single"/>
        </w:rPr>
      </w:pPr>
      <w:r>
        <w:rPr>
          <w:rFonts w:hint="eastAsia" w:ascii="宋体" w:hAnsi="宋体"/>
          <w:b/>
          <w:bCs/>
          <w:u w:val="single"/>
        </w:rPr>
        <w:t>水磨</w:t>
      </w:r>
      <w:r>
        <w:rPr>
          <w:rFonts w:ascii="宋体" w:hAnsi="宋体"/>
          <w:b/>
          <w:bCs/>
          <w:u w:val="single"/>
        </w:rPr>
        <w:t>乡</w:t>
      </w:r>
      <w:r>
        <w:rPr>
          <w:rFonts w:hint="eastAsia" w:ascii="宋体" w:hAnsi="宋体"/>
          <w:b/>
          <w:bCs/>
          <w:u w:val="single"/>
        </w:rPr>
        <w:t>场</w:t>
      </w:r>
      <w:r>
        <w:rPr>
          <w:rFonts w:ascii="宋体" w:hAnsi="宋体"/>
          <w:b/>
          <w:bCs/>
          <w:u w:val="single"/>
        </w:rPr>
        <w:t>镇为已</w:t>
      </w:r>
      <w:r>
        <w:rPr>
          <w:rFonts w:hint="eastAsia" w:ascii="宋体" w:hAnsi="宋体"/>
          <w:b/>
          <w:bCs/>
          <w:u w:val="single"/>
        </w:rPr>
        <w:t>评定公布</w:t>
      </w:r>
      <w:r>
        <w:rPr>
          <w:rFonts w:ascii="宋体" w:hAnsi="宋体"/>
          <w:b/>
          <w:bCs/>
          <w:u w:val="single"/>
        </w:rPr>
        <w:t>的历史文化街区，其</w:t>
      </w:r>
      <w:r>
        <w:rPr>
          <w:rFonts w:hint="eastAsia" w:ascii="宋体" w:hAnsi="宋体"/>
          <w:b/>
          <w:bCs/>
          <w:u w:val="single"/>
        </w:rPr>
        <w:t>核心</w:t>
      </w:r>
      <w:r>
        <w:rPr>
          <w:rFonts w:ascii="宋体" w:hAnsi="宋体"/>
          <w:b/>
          <w:bCs/>
          <w:u w:val="single"/>
        </w:rPr>
        <w:t>保护范围和</w:t>
      </w:r>
      <w:r>
        <w:rPr>
          <w:rFonts w:hint="eastAsia" w:ascii="宋体" w:hAnsi="宋体"/>
          <w:b/>
          <w:bCs/>
          <w:u w:val="single"/>
        </w:rPr>
        <w:t>建设控制</w:t>
      </w:r>
      <w:r>
        <w:rPr>
          <w:rFonts w:ascii="宋体" w:hAnsi="宋体"/>
          <w:b/>
          <w:bCs/>
          <w:u w:val="single"/>
        </w:rPr>
        <w:t>地带的四</w:t>
      </w:r>
      <w:r>
        <w:rPr>
          <w:rFonts w:hint="eastAsia" w:ascii="宋体" w:hAnsi="宋体"/>
          <w:b/>
          <w:bCs/>
          <w:u w:val="single"/>
        </w:rPr>
        <w:t>至范围、</w:t>
      </w:r>
      <w:r>
        <w:rPr>
          <w:rFonts w:ascii="宋体" w:hAnsi="宋体"/>
          <w:b/>
          <w:bCs/>
          <w:u w:val="single"/>
        </w:rPr>
        <w:t>面积</w:t>
      </w:r>
      <w:r>
        <w:rPr>
          <w:rFonts w:hint="eastAsia" w:ascii="宋体" w:hAnsi="宋体"/>
          <w:b/>
          <w:bCs/>
          <w:u w:val="single"/>
        </w:rPr>
        <w:t>与</w:t>
      </w:r>
      <w:r>
        <w:rPr>
          <w:rFonts w:ascii="宋体" w:hAnsi="宋体"/>
          <w:b/>
          <w:bCs/>
          <w:u w:val="single"/>
        </w:rPr>
        <w:t>历史文化街区</w:t>
      </w:r>
      <w:r>
        <w:rPr>
          <w:rFonts w:hint="eastAsia" w:ascii="宋体" w:hAnsi="宋体"/>
          <w:b/>
          <w:bCs/>
          <w:u w:val="single"/>
        </w:rPr>
        <w:t>保护</w:t>
      </w:r>
      <w:r>
        <w:rPr>
          <w:rFonts w:ascii="宋体" w:hAnsi="宋体"/>
          <w:b/>
          <w:bCs/>
          <w:u w:val="single"/>
        </w:rPr>
        <w:t>专项规划</w:t>
      </w:r>
      <w:r>
        <w:rPr>
          <w:rFonts w:hint="eastAsia" w:ascii="宋体" w:hAnsi="宋体"/>
          <w:b/>
          <w:bCs/>
          <w:u w:val="single"/>
        </w:rPr>
        <w:t>一致</w:t>
      </w:r>
      <w:r>
        <w:rPr>
          <w:rFonts w:ascii="宋体" w:hAnsi="宋体"/>
          <w:b/>
          <w:bCs/>
          <w:u w:val="single"/>
        </w:rPr>
        <w:t>。</w:t>
      </w:r>
    </w:p>
    <w:p>
      <w:pPr>
        <w:pStyle w:val="79"/>
        <w:numPr>
          <w:ilvl w:val="0"/>
          <w:numId w:val="27"/>
        </w:numPr>
        <w:ind w:firstLineChars="0"/>
      </w:pPr>
      <w:bookmarkStart w:id="109" w:name="_Toc497180843"/>
      <w:r>
        <w:rPr>
          <w:rFonts w:hint="eastAsia"/>
        </w:rPr>
        <w:t>建筑物、构筑物、历史环境要素的保护与整治方式</w:t>
      </w:r>
      <w:bookmarkEnd w:id="109"/>
    </w:p>
    <w:p>
      <w:pPr>
        <w:ind w:firstLine="480"/>
      </w:pPr>
      <w:r>
        <w:rPr>
          <w:rFonts w:hint="eastAsia"/>
        </w:rPr>
        <w:t>根据《历史文化名城保护规划规范（2017）》，历史文化街区内所有的建筑物、构筑物按《</w:t>
      </w:r>
      <w:r>
        <w:fldChar w:fldCharType="begin"/>
      </w:r>
      <w:r>
        <w:instrText xml:space="preserve"> REF _Ref496652451 \h  \* MERGEFORMAT </w:instrText>
      </w:r>
      <w:r>
        <w:fldChar w:fldCharType="separate"/>
      </w:r>
      <w:r>
        <w:rPr>
          <w:rFonts w:hint="eastAsia"/>
        </w:rPr>
        <w:t>表格</w:t>
      </w:r>
      <w:r>
        <w:t>2</w:t>
      </w:r>
      <w:r>
        <w:rPr>
          <w:rFonts w:hint="eastAsia"/>
        </w:rPr>
        <w:t>历史文化街区建筑物、构筑物保护与整治方式</w:t>
      </w:r>
      <w:r>
        <w:fldChar w:fldCharType="end"/>
      </w:r>
      <w:r>
        <w:rPr>
          <w:rFonts w:hint="eastAsia"/>
        </w:rPr>
        <w:t>》的规定选定相应的保护和整治方式。</w:t>
      </w:r>
    </w:p>
    <w:p>
      <w:pPr>
        <w:pStyle w:val="13"/>
        <w:keepNext/>
        <w:ind w:firstLine="400"/>
      </w:pPr>
      <w:bookmarkStart w:id="110" w:name="_Ref496652451"/>
      <w:r>
        <w:rPr>
          <w:rFonts w:hint="eastAsia"/>
        </w:rPr>
        <w:t>表格</w:t>
      </w:r>
      <w:r>
        <w:fldChar w:fldCharType="begin"/>
      </w:r>
      <w:r>
        <w:rPr>
          <w:rFonts w:hint="eastAsia"/>
        </w:rPr>
        <w:instrText xml:space="preserve">SEQ 表格 \* ARABIC</w:instrText>
      </w:r>
      <w:r>
        <w:fldChar w:fldCharType="separate"/>
      </w:r>
      <w:r>
        <w:t>2</w:t>
      </w:r>
      <w:r>
        <w:fldChar w:fldCharType="end"/>
      </w:r>
      <w:r>
        <w:rPr>
          <w:rFonts w:hint="eastAsia"/>
          <w:kern w:val="0"/>
        </w:rPr>
        <w:t>历史文化街区建筑物、构筑物保护与整治方式</w:t>
      </w:r>
      <w:bookmarkEnd w:id="110"/>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417"/>
        <w:gridCol w:w="1082"/>
        <w:gridCol w:w="1149"/>
        <w:gridCol w:w="1795"/>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980" w:type="dxa"/>
            <w:vMerge w:val="restart"/>
            <w:tcBorders>
              <w:bottom w:val="nil"/>
            </w:tcBorders>
            <w:vAlign w:val="center"/>
          </w:tcPr>
          <w:p>
            <w:pPr>
              <w:spacing w:line="240" w:lineRule="auto"/>
              <w:ind w:firstLine="0" w:firstLineChars="0"/>
              <w:jc w:val="center"/>
              <w:rPr>
                <w:b/>
                <w:u w:val="single"/>
              </w:rPr>
            </w:pPr>
            <w:r>
              <w:rPr>
                <w:rFonts w:hint="eastAsia"/>
                <w:b/>
                <w:u w:val="single"/>
              </w:rPr>
              <w:t>分类</w:t>
            </w:r>
          </w:p>
        </w:tc>
        <w:tc>
          <w:tcPr>
            <w:tcW w:w="1417" w:type="dxa"/>
            <w:vMerge w:val="restart"/>
            <w:vAlign w:val="center"/>
          </w:tcPr>
          <w:p>
            <w:pPr>
              <w:spacing w:line="240" w:lineRule="auto"/>
              <w:ind w:firstLine="0" w:firstLineChars="0"/>
              <w:jc w:val="center"/>
              <w:rPr>
                <w:b/>
                <w:u w:val="single"/>
              </w:rPr>
            </w:pPr>
            <w:r>
              <w:rPr>
                <w:rFonts w:hint="eastAsia"/>
                <w:b/>
                <w:u w:val="single"/>
              </w:rPr>
              <w:t>文物保护单位</w:t>
            </w:r>
          </w:p>
        </w:tc>
        <w:tc>
          <w:tcPr>
            <w:tcW w:w="1082" w:type="dxa"/>
            <w:vMerge w:val="restart"/>
            <w:vAlign w:val="center"/>
          </w:tcPr>
          <w:p>
            <w:pPr>
              <w:spacing w:line="240" w:lineRule="auto"/>
              <w:ind w:firstLine="0" w:firstLineChars="0"/>
              <w:jc w:val="center"/>
              <w:rPr>
                <w:b/>
                <w:u w:val="single"/>
              </w:rPr>
            </w:pPr>
            <w:r>
              <w:rPr>
                <w:rFonts w:hint="eastAsia"/>
                <w:b/>
                <w:u w:val="single"/>
              </w:rPr>
              <w:t>历史</w:t>
            </w:r>
          </w:p>
          <w:p>
            <w:pPr>
              <w:spacing w:line="240" w:lineRule="auto"/>
              <w:ind w:firstLine="0" w:firstLineChars="0"/>
              <w:jc w:val="center"/>
              <w:rPr>
                <w:b/>
                <w:u w:val="single"/>
              </w:rPr>
            </w:pPr>
            <w:r>
              <w:rPr>
                <w:rFonts w:hint="eastAsia"/>
                <w:b/>
                <w:u w:val="single"/>
              </w:rPr>
              <w:t>建筑</w:t>
            </w:r>
          </w:p>
        </w:tc>
        <w:tc>
          <w:tcPr>
            <w:tcW w:w="1149" w:type="dxa"/>
            <w:vMerge w:val="restart"/>
            <w:vAlign w:val="center"/>
          </w:tcPr>
          <w:p>
            <w:pPr>
              <w:spacing w:line="240" w:lineRule="auto"/>
              <w:ind w:firstLine="0" w:firstLineChars="0"/>
              <w:jc w:val="center"/>
              <w:rPr>
                <w:b/>
                <w:u w:val="single"/>
              </w:rPr>
            </w:pPr>
            <w:r>
              <w:rPr>
                <w:rFonts w:hint="eastAsia"/>
                <w:b/>
                <w:u w:val="single"/>
              </w:rPr>
              <w:t>传统</w:t>
            </w:r>
          </w:p>
          <w:p>
            <w:pPr>
              <w:spacing w:line="240" w:lineRule="auto"/>
              <w:ind w:firstLine="0" w:firstLineChars="0"/>
              <w:jc w:val="center"/>
              <w:rPr>
                <w:b/>
                <w:u w:val="single"/>
              </w:rPr>
            </w:pPr>
            <w:r>
              <w:rPr>
                <w:rFonts w:hint="eastAsia"/>
                <w:b/>
                <w:u w:val="single"/>
              </w:rPr>
              <w:t>风貌</w:t>
            </w:r>
          </w:p>
          <w:p>
            <w:pPr>
              <w:spacing w:line="240" w:lineRule="auto"/>
              <w:ind w:firstLine="0" w:firstLineChars="0"/>
              <w:jc w:val="center"/>
              <w:rPr>
                <w:b/>
                <w:u w:val="single"/>
              </w:rPr>
            </w:pPr>
            <w:r>
              <w:rPr>
                <w:rFonts w:hint="eastAsia"/>
                <w:b/>
                <w:u w:val="single"/>
              </w:rPr>
              <w:t>建筑</w:t>
            </w:r>
          </w:p>
        </w:tc>
        <w:tc>
          <w:tcPr>
            <w:tcW w:w="3952" w:type="dxa"/>
            <w:gridSpan w:val="2"/>
            <w:vAlign w:val="center"/>
          </w:tcPr>
          <w:p>
            <w:pPr>
              <w:spacing w:line="240" w:lineRule="auto"/>
              <w:ind w:firstLine="0" w:firstLineChars="0"/>
              <w:jc w:val="center"/>
              <w:rPr>
                <w:b/>
                <w:u w:val="single"/>
              </w:rPr>
            </w:pPr>
            <w:r>
              <w:rPr>
                <w:rFonts w:hint="eastAsia"/>
                <w:b/>
                <w:u w:val="single"/>
              </w:rPr>
              <w:t>一般建筑物、构筑物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1980" w:type="dxa"/>
            <w:vMerge w:val="continue"/>
            <w:tcBorders>
              <w:bottom w:val="nil"/>
            </w:tcBorders>
            <w:vAlign w:val="center"/>
          </w:tcPr>
          <w:p>
            <w:pPr>
              <w:spacing w:line="240" w:lineRule="auto"/>
              <w:ind w:firstLine="0" w:firstLineChars="0"/>
              <w:jc w:val="left"/>
              <w:rPr>
                <w:b/>
                <w:u w:val="single"/>
              </w:rPr>
            </w:pPr>
          </w:p>
        </w:tc>
        <w:tc>
          <w:tcPr>
            <w:tcW w:w="1417" w:type="dxa"/>
            <w:vMerge w:val="continue"/>
            <w:vAlign w:val="center"/>
          </w:tcPr>
          <w:p>
            <w:pPr>
              <w:spacing w:line="240" w:lineRule="auto"/>
              <w:ind w:firstLine="0" w:firstLineChars="0"/>
              <w:jc w:val="left"/>
              <w:rPr>
                <w:b/>
                <w:u w:val="single"/>
              </w:rPr>
            </w:pPr>
          </w:p>
        </w:tc>
        <w:tc>
          <w:tcPr>
            <w:tcW w:w="1082" w:type="dxa"/>
            <w:vMerge w:val="continue"/>
            <w:vAlign w:val="center"/>
          </w:tcPr>
          <w:p>
            <w:pPr>
              <w:spacing w:line="240" w:lineRule="auto"/>
              <w:ind w:firstLine="0" w:firstLineChars="0"/>
              <w:jc w:val="left"/>
              <w:rPr>
                <w:b/>
                <w:u w:val="single"/>
              </w:rPr>
            </w:pPr>
          </w:p>
        </w:tc>
        <w:tc>
          <w:tcPr>
            <w:tcW w:w="1149" w:type="dxa"/>
            <w:vMerge w:val="continue"/>
            <w:vAlign w:val="center"/>
          </w:tcPr>
          <w:p>
            <w:pPr>
              <w:spacing w:line="240" w:lineRule="auto"/>
              <w:ind w:firstLine="0" w:firstLineChars="0"/>
              <w:jc w:val="left"/>
              <w:rPr>
                <w:b/>
                <w:u w:val="single"/>
              </w:rPr>
            </w:pPr>
          </w:p>
        </w:tc>
        <w:tc>
          <w:tcPr>
            <w:tcW w:w="1795" w:type="dxa"/>
            <w:vAlign w:val="center"/>
          </w:tcPr>
          <w:p>
            <w:pPr>
              <w:spacing w:line="240" w:lineRule="auto"/>
              <w:ind w:firstLine="0" w:firstLineChars="0"/>
              <w:jc w:val="left"/>
              <w:rPr>
                <w:b/>
                <w:u w:val="single"/>
              </w:rPr>
            </w:pPr>
            <w:r>
              <w:rPr>
                <w:rFonts w:hint="eastAsia"/>
                <w:b/>
                <w:u w:val="single"/>
              </w:rPr>
              <w:t>与历史风貌无冲突的其他建筑物、构筑物</w:t>
            </w:r>
          </w:p>
        </w:tc>
        <w:tc>
          <w:tcPr>
            <w:tcW w:w="2157" w:type="dxa"/>
            <w:vAlign w:val="center"/>
          </w:tcPr>
          <w:p>
            <w:pPr>
              <w:spacing w:line="240" w:lineRule="auto"/>
              <w:ind w:firstLine="0" w:firstLineChars="0"/>
              <w:jc w:val="left"/>
              <w:rPr>
                <w:b/>
                <w:u w:val="single"/>
              </w:rPr>
            </w:pPr>
            <w:r>
              <w:rPr>
                <w:rFonts w:hint="eastAsia"/>
                <w:b/>
                <w:u w:val="single"/>
              </w:rPr>
              <w:t>与历史风貌有冲突的其他建筑物、构筑物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980" w:type="dxa"/>
            <w:vAlign w:val="center"/>
          </w:tcPr>
          <w:p>
            <w:pPr>
              <w:spacing w:line="240" w:lineRule="auto"/>
              <w:ind w:firstLine="0" w:firstLineChars="0"/>
              <w:jc w:val="left"/>
              <w:rPr>
                <w:b/>
                <w:u w:val="single"/>
              </w:rPr>
            </w:pPr>
            <w:r>
              <w:rPr>
                <w:rFonts w:hint="eastAsia"/>
                <w:b/>
                <w:u w:val="single"/>
              </w:rPr>
              <w:t>保护与整治方式</w:t>
            </w:r>
          </w:p>
        </w:tc>
        <w:tc>
          <w:tcPr>
            <w:tcW w:w="1417" w:type="dxa"/>
            <w:vAlign w:val="center"/>
          </w:tcPr>
          <w:p>
            <w:pPr>
              <w:spacing w:line="240" w:lineRule="auto"/>
              <w:ind w:firstLine="0" w:firstLineChars="0"/>
              <w:jc w:val="left"/>
              <w:rPr>
                <w:b/>
                <w:u w:val="single"/>
              </w:rPr>
            </w:pPr>
            <w:r>
              <w:rPr>
                <w:rFonts w:hint="eastAsia"/>
                <w:b/>
                <w:u w:val="single"/>
              </w:rPr>
              <w:t>修缮</w:t>
            </w:r>
          </w:p>
        </w:tc>
        <w:tc>
          <w:tcPr>
            <w:tcW w:w="1082" w:type="dxa"/>
            <w:vAlign w:val="center"/>
          </w:tcPr>
          <w:p>
            <w:pPr>
              <w:spacing w:line="240" w:lineRule="auto"/>
              <w:ind w:firstLine="0" w:firstLineChars="0"/>
              <w:jc w:val="left"/>
              <w:rPr>
                <w:b/>
                <w:u w:val="single"/>
              </w:rPr>
            </w:pPr>
            <w:r>
              <w:rPr>
                <w:rFonts w:hint="eastAsia"/>
                <w:b/>
                <w:u w:val="single"/>
              </w:rPr>
              <w:t>修缮</w:t>
            </w:r>
          </w:p>
          <w:p>
            <w:pPr>
              <w:spacing w:line="240" w:lineRule="auto"/>
              <w:ind w:firstLine="0" w:firstLineChars="0"/>
              <w:jc w:val="left"/>
              <w:rPr>
                <w:b/>
                <w:u w:val="single"/>
              </w:rPr>
            </w:pPr>
            <w:r>
              <w:rPr>
                <w:rFonts w:hint="eastAsia"/>
                <w:b/>
                <w:u w:val="single"/>
              </w:rPr>
              <w:t>维修</w:t>
            </w:r>
          </w:p>
          <w:p>
            <w:pPr>
              <w:spacing w:line="240" w:lineRule="auto"/>
              <w:ind w:firstLine="0" w:firstLineChars="0"/>
              <w:jc w:val="left"/>
              <w:rPr>
                <w:b/>
                <w:u w:val="single"/>
              </w:rPr>
            </w:pPr>
            <w:r>
              <w:rPr>
                <w:rFonts w:hint="eastAsia"/>
                <w:b/>
                <w:u w:val="single"/>
              </w:rPr>
              <w:t>改善</w:t>
            </w:r>
          </w:p>
        </w:tc>
        <w:tc>
          <w:tcPr>
            <w:tcW w:w="1149" w:type="dxa"/>
            <w:vAlign w:val="center"/>
          </w:tcPr>
          <w:p>
            <w:pPr>
              <w:spacing w:line="240" w:lineRule="auto"/>
              <w:ind w:firstLine="0" w:firstLineChars="0"/>
              <w:jc w:val="left"/>
              <w:rPr>
                <w:b/>
                <w:u w:val="single"/>
              </w:rPr>
            </w:pPr>
            <w:r>
              <w:rPr>
                <w:rFonts w:hint="eastAsia"/>
                <w:b/>
                <w:u w:val="single"/>
              </w:rPr>
              <w:t>维修</w:t>
            </w:r>
          </w:p>
          <w:p>
            <w:pPr>
              <w:spacing w:line="240" w:lineRule="auto"/>
              <w:ind w:firstLine="0" w:firstLineChars="0"/>
              <w:jc w:val="left"/>
              <w:rPr>
                <w:b/>
                <w:u w:val="single"/>
              </w:rPr>
            </w:pPr>
            <w:r>
              <w:rPr>
                <w:rFonts w:hint="eastAsia"/>
                <w:b/>
                <w:u w:val="single"/>
              </w:rPr>
              <w:t>改善</w:t>
            </w:r>
          </w:p>
        </w:tc>
        <w:tc>
          <w:tcPr>
            <w:tcW w:w="1795" w:type="dxa"/>
            <w:vAlign w:val="center"/>
          </w:tcPr>
          <w:p>
            <w:pPr>
              <w:spacing w:line="240" w:lineRule="auto"/>
              <w:ind w:firstLine="0" w:firstLineChars="0"/>
              <w:jc w:val="left"/>
              <w:rPr>
                <w:b/>
                <w:u w:val="single"/>
              </w:rPr>
            </w:pPr>
            <w:r>
              <w:rPr>
                <w:rFonts w:hint="eastAsia"/>
                <w:b/>
                <w:u w:val="single"/>
              </w:rPr>
              <w:t>保留</w:t>
            </w:r>
          </w:p>
          <w:p>
            <w:pPr>
              <w:spacing w:line="240" w:lineRule="auto"/>
              <w:ind w:firstLine="0" w:firstLineChars="0"/>
              <w:jc w:val="left"/>
              <w:rPr>
                <w:b/>
                <w:u w:val="single"/>
              </w:rPr>
            </w:pPr>
            <w:r>
              <w:rPr>
                <w:rFonts w:hint="eastAsia"/>
                <w:b/>
                <w:u w:val="single"/>
              </w:rPr>
              <w:t>维修</w:t>
            </w:r>
          </w:p>
          <w:p>
            <w:pPr>
              <w:spacing w:line="240" w:lineRule="auto"/>
              <w:ind w:firstLine="0" w:firstLineChars="0"/>
              <w:jc w:val="left"/>
              <w:rPr>
                <w:b/>
                <w:u w:val="single"/>
              </w:rPr>
            </w:pPr>
            <w:r>
              <w:rPr>
                <w:rFonts w:hint="eastAsia"/>
                <w:b/>
                <w:u w:val="single"/>
              </w:rPr>
              <w:t>改善</w:t>
            </w:r>
          </w:p>
        </w:tc>
        <w:tc>
          <w:tcPr>
            <w:tcW w:w="2157" w:type="dxa"/>
            <w:vAlign w:val="center"/>
          </w:tcPr>
          <w:p>
            <w:pPr>
              <w:spacing w:line="240" w:lineRule="auto"/>
              <w:ind w:firstLine="0" w:firstLineChars="0"/>
              <w:jc w:val="left"/>
              <w:rPr>
                <w:b/>
                <w:u w:val="single"/>
              </w:rPr>
            </w:pPr>
            <w:r>
              <w:rPr>
                <w:rFonts w:hint="eastAsia"/>
                <w:b/>
                <w:u w:val="single"/>
              </w:rPr>
              <w:t>整治</w:t>
            </w:r>
          </w:p>
          <w:p>
            <w:pPr>
              <w:spacing w:line="240" w:lineRule="auto"/>
              <w:ind w:firstLine="0" w:firstLineChars="0"/>
              <w:jc w:val="left"/>
              <w:rPr>
                <w:b/>
                <w:u w:val="single"/>
              </w:rPr>
            </w:pPr>
            <w:r>
              <w:rPr>
                <w:rFonts w:hint="eastAsia"/>
                <w:b/>
                <w:u w:val="single"/>
              </w:rPr>
              <w:t>拆除重建</w:t>
            </w:r>
          </w:p>
          <w:p>
            <w:pPr>
              <w:spacing w:line="240" w:lineRule="auto"/>
              <w:ind w:firstLine="0" w:firstLineChars="0"/>
              <w:jc w:val="left"/>
              <w:rPr>
                <w:b/>
                <w:u w:val="single"/>
              </w:rPr>
            </w:pPr>
            <w:r>
              <w:rPr>
                <w:rFonts w:hint="eastAsia"/>
                <w:b/>
                <w:u w:val="single"/>
              </w:rPr>
              <w:t>拆除不建</w:t>
            </w:r>
          </w:p>
        </w:tc>
      </w:tr>
    </w:tbl>
    <w:p>
      <w:pPr>
        <w:ind w:firstLine="480"/>
      </w:pPr>
    </w:p>
    <w:p>
      <w:pPr>
        <w:ind w:firstLine="482"/>
        <w:rPr>
          <w:b/>
          <w:u w:val="single"/>
        </w:rPr>
      </w:pPr>
      <w:r>
        <w:rPr>
          <w:rFonts w:hint="eastAsia"/>
          <w:b/>
          <w:u w:val="single"/>
        </w:rPr>
        <w:t>历史文化街区内构成历史风貌的环境要素的保护方式为修缮、维修。历史文化街区内与历史风貌相冲突的环境要素的整治方式应为整治、拆除。</w:t>
      </w:r>
    </w:p>
    <w:p>
      <w:pPr>
        <w:ind w:firstLine="480"/>
        <w:rPr>
          <w:b/>
          <w:u w:val="single"/>
        </w:rPr>
      </w:pPr>
      <w:r>
        <w:rPr>
          <w:rFonts w:hint="eastAsia"/>
        </w:rPr>
        <w:t>历史文化街区内</w:t>
      </w:r>
      <w:r>
        <w:rPr>
          <w:rFonts w:hint="eastAsia"/>
          <w:b/>
          <w:u w:val="single"/>
        </w:rPr>
        <w:t>拆除建筑的再建设，应符合历史风貌的要求。</w:t>
      </w:r>
    </w:p>
    <w:p>
      <w:pPr>
        <w:pStyle w:val="79"/>
        <w:numPr>
          <w:ilvl w:val="0"/>
          <w:numId w:val="27"/>
        </w:numPr>
        <w:ind w:firstLineChars="0"/>
      </w:pPr>
      <w:r>
        <w:t>道路交通</w:t>
      </w:r>
      <w:r>
        <w:rPr>
          <w:rFonts w:hint="eastAsia"/>
        </w:rPr>
        <w:t>、市政设施与防灾环保</w:t>
      </w:r>
    </w:p>
    <w:p>
      <w:pPr>
        <w:ind w:firstLine="480"/>
      </w:pPr>
      <w:r>
        <w:rPr>
          <w:rFonts w:hint="eastAsia"/>
        </w:rPr>
        <w:t>历史文化街区内道路的宽度、断面、路缘石半径、</w:t>
      </w:r>
      <w:bookmarkStart w:id="111" w:name="_Hlk3888115"/>
      <w:r>
        <w:rPr>
          <w:rFonts w:hint="eastAsia"/>
        </w:rPr>
        <w:t>消防栓、消防水资源（取水口）、防火墙</w:t>
      </w:r>
      <w:bookmarkEnd w:id="111"/>
      <w:r>
        <w:rPr>
          <w:rFonts w:hint="eastAsia"/>
        </w:rPr>
        <w:t>和消防通道的设置等应符合历史风貌的保护要求，道路的整修宜采用传统的路面材料及铺砌方式。历史文化街区宜采用宁静化的交通设计。历史文化街区内的街道宜采用历史上的原有名称。</w:t>
      </w:r>
    </w:p>
    <w:p>
      <w:pPr>
        <w:ind w:firstLine="480"/>
      </w:pPr>
      <w:r>
        <w:rPr>
          <w:rFonts w:hint="eastAsia"/>
        </w:rPr>
        <w:t>历史文化街区内宜采用小型化、</w:t>
      </w:r>
      <w:r>
        <w:t>隐蔽型</w:t>
      </w:r>
      <w:r>
        <w:rPr>
          <w:rFonts w:hint="eastAsia"/>
        </w:rPr>
        <w:t>的市政站点设施，有条件的可采用地下方式或与建筑结合方式建设，其建筑体量、色彩、高度等应与周边建筑风格相协调。</w:t>
      </w:r>
    </w:p>
    <w:p>
      <w:pPr>
        <w:ind w:firstLine="480"/>
      </w:pPr>
      <w:r>
        <w:rPr>
          <w:rFonts w:hint="eastAsia"/>
        </w:rPr>
        <w:t>对历史文化街区中，防灾和环境保护限制性内容的限制程度适度强化。</w:t>
      </w:r>
    </w:p>
    <w:p>
      <w:pPr>
        <w:pStyle w:val="76"/>
        <w:ind w:left="704"/>
        <w:rPr>
          <w:color w:val="auto"/>
        </w:rPr>
      </w:pPr>
      <w:bookmarkStart w:id="112" w:name="_Toc3889229"/>
      <w:bookmarkStart w:id="113" w:name="_Toc497180845"/>
      <w:r>
        <w:rPr>
          <w:rFonts w:hint="eastAsia"/>
          <w:color w:val="auto"/>
        </w:rPr>
        <w:t>文昌街及龙潭街历史文化街区</w:t>
      </w:r>
      <w:bookmarkEnd w:id="112"/>
      <w:bookmarkEnd w:id="113"/>
    </w:p>
    <w:p>
      <w:pPr>
        <w:ind w:firstLine="480"/>
      </w:pPr>
      <w:r>
        <w:rPr>
          <w:rFonts w:hint="eastAsia"/>
        </w:rPr>
        <w:t>文昌街及龙潭街历史文化街区主要涵盖了</w:t>
      </w:r>
      <w:r>
        <w:rPr>
          <w:rFonts w:hint="eastAsia" w:ascii="宋体" w:hAnsi="宋体"/>
        </w:rPr>
        <w:t>红军党、政、军主要机关遗迹，在特色上体现了红军文化。</w:t>
      </w:r>
    </w:p>
    <w:p>
      <w:pPr>
        <w:pStyle w:val="79"/>
        <w:numPr>
          <w:ilvl w:val="0"/>
          <w:numId w:val="33"/>
        </w:numPr>
        <w:ind w:firstLineChars="0"/>
      </w:pPr>
      <w:r>
        <w:rPr>
          <w:rFonts w:hint="eastAsia"/>
        </w:rPr>
        <w:t>保护范围</w:t>
      </w:r>
    </w:p>
    <w:p>
      <w:pPr>
        <w:pStyle w:val="80"/>
        <w:numPr>
          <w:ilvl w:val="0"/>
          <w:numId w:val="34"/>
        </w:numPr>
        <w:ind w:right="0" w:rightChars="0"/>
        <w:outlineLvl w:val="3"/>
      </w:pPr>
      <w:r>
        <w:rPr>
          <w:rFonts w:hint="eastAsia"/>
        </w:rPr>
        <w:t>核心保护范围</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四至范围</w:t>
      </w:r>
      <w:r>
        <w:rPr>
          <w:rFonts w:ascii="宋体" w:hAnsi="宋体"/>
          <w:b/>
          <w:bCs/>
          <w:u w:val="single"/>
        </w:rPr>
        <w:t>：</w:t>
      </w:r>
      <w:r>
        <w:rPr>
          <w:rFonts w:hint="eastAsia" w:ascii="宋体" w:hAnsi="宋体"/>
          <w:b/>
          <w:bCs/>
          <w:u w:val="single"/>
        </w:rPr>
        <w:t>涵盖文昌街、龙潭街及沿街传统风貌建筑。</w:t>
      </w:r>
      <w:r>
        <w:rPr>
          <w:rFonts w:ascii="宋体" w:hAnsi="宋体"/>
          <w:b/>
          <w:bCs/>
          <w:u w:val="single"/>
        </w:rPr>
        <w:t>以川陕省委、</w:t>
      </w:r>
      <w:r>
        <w:rPr>
          <w:rFonts w:hint="eastAsia" w:ascii="宋体" w:hAnsi="宋体"/>
          <w:b/>
          <w:bCs/>
          <w:u w:val="single"/>
        </w:rPr>
        <w:t>川陕省保卫局旧址</w:t>
      </w:r>
      <w:r>
        <w:rPr>
          <w:rFonts w:ascii="宋体" w:hAnsi="宋体"/>
          <w:b/>
          <w:bCs/>
          <w:u w:val="single"/>
        </w:rPr>
        <w:t>、红四方面军总部等个文物点</w:t>
      </w:r>
      <w:r>
        <w:rPr>
          <w:rFonts w:hint="eastAsia" w:ascii="宋体" w:hAnsi="宋体"/>
          <w:b/>
          <w:bCs/>
          <w:u w:val="single"/>
        </w:rPr>
        <w:t>用</w:t>
      </w:r>
      <w:r>
        <w:rPr>
          <w:rFonts w:ascii="宋体" w:hAnsi="宋体"/>
          <w:b/>
          <w:bCs/>
          <w:u w:val="single"/>
        </w:rPr>
        <w:t>地范围外延3米、其他沿街建筑占地范围外延3米形成核心保护范围。</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核心保护范围面积为</w:t>
      </w:r>
      <w:r>
        <w:rPr>
          <w:rFonts w:ascii="宋体" w:hAnsi="宋体"/>
          <w:b/>
          <w:bCs/>
          <w:u w:val="single"/>
        </w:rPr>
        <w:t>4.77公顷。</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保护要求：保护原有街巷格局、尺度、材质、铺装；延续地方民俗生活；保留红军驻地、商贸、居住相结合的用地布局。</w:t>
      </w:r>
    </w:p>
    <w:p>
      <w:pPr>
        <w:pStyle w:val="80"/>
        <w:numPr>
          <w:ilvl w:val="0"/>
          <w:numId w:val="34"/>
        </w:numPr>
        <w:ind w:right="0" w:rightChars="0"/>
        <w:outlineLvl w:val="3"/>
      </w:pPr>
      <w:r>
        <w:rPr>
          <w:rFonts w:hint="eastAsia"/>
        </w:rPr>
        <w:t>建设控制地带</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四至范围</w:t>
      </w:r>
      <w:r>
        <w:rPr>
          <w:rFonts w:ascii="宋体" w:hAnsi="宋体"/>
          <w:b/>
          <w:bCs/>
          <w:u w:val="single"/>
        </w:rPr>
        <w:t>：在核心保护范围外延20米范围内作为建设控制带范围，东至历史街区东侧规划道路西侧红线，南至红军城路北侧红线，北至旺（苍）——乐（坝）铁路南侧路基。</w:t>
      </w:r>
    </w:p>
    <w:p>
      <w:pPr>
        <w:shd w:val="clear" w:color="auto" w:fill="FFFFFF"/>
        <w:spacing w:line="360" w:lineRule="auto"/>
        <w:ind w:firstLine="482"/>
        <w:textAlignment w:val="baseline"/>
      </w:pPr>
      <w:r>
        <w:rPr>
          <w:rFonts w:hint="eastAsia" w:ascii="宋体" w:hAnsi="宋体"/>
          <w:b/>
          <w:bCs/>
          <w:u w:val="single"/>
        </w:rPr>
        <w:t>建设控制地带面积为</w:t>
      </w:r>
      <w:r>
        <w:rPr>
          <w:rFonts w:ascii="宋体" w:hAnsi="宋体"/>
          <w:b/>
          <w:bCs/>
          <w:u w:val="single"/>
        </w:rPr>
        <w:t>4.76</w:t>
      </w:r>
      <w:r>
        <w:rPr>
          <w:rFonts w:hint="eastAsia" w:ascii="宋体" w:hAnsi="宋体"/>
          <w:b/>
          <w:bCs/>
          <w:u w:val="single"/>
        </w:rPr>
        <w:t>公顷。</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保护要求：建设控制地带应与核心保护范围的风貌协调，应提出建筑高度、体量、色彩等控制要求。</w:t>
      </w:r>
    </w:p>
    <w:p>
      <w:pPr>
        <w:shd w:val="clear" w:color="auto" w:fill="FFFFFF"/>
        <w:spacing w:line="360" w:lineRule="auto"/>
        <w:ind w:firstLine="482"/>
        <w:textAlignment w:val="baseline"/>
        <w:rPr>
          <w:rFonts w:ascii="宋体" w:hAnsi="宋体"/>
          <w:b/>
          <w:bCs/>
          <w:u w:val="single"/>
        </w:rPr>
      </w:pPr>
      <w:r>
        <w:rPr>
          <w:rFonts w:ascii="宋体" w:hAnsi="宋体"/>
          <w:b/>
          <w:bCs/>
          <w:u w:val="single"/>
        </w:rPr>
        <w:t>历史文化街区建设控制地带内应严格控制建筑的性质、高度、体量、色彩及形式。</w:t>
      </w:r>
    </w:p>
    <w:p>
      <w:pPr>
        <w:pStyle w:val="79"/>
        <w:numPr>
          <w:ilvl w:val="0"/>
          <w:numId w:val="27"/>
        </w:numPr>
        <w:ind w:firstLineChars="0"/>
      </w:pPr>
      <w:r>
        <w:rPr>
          <w:rFonts w:hint="eastAsia"/>
        </w:rPr>
        <w:t>建筑物、构筑物、历史环境要素及新建建筑保护要求</w:t>
      </w:r>
    </w:p>
    <w:p>
      <w:pPr>
        <w:pStyle w:val="80"/>
        <w:numPr>
          <w:ilvl w:val="0"/>
          <w:numId w:val="35"/>
        </w:numPr>
        <w:ind w:right="0" w:rightChars="0"/>
        <w:outlineLvl w:val="3"/>
      </w:pPr>
      <w:r>
        <w:rPr>
          <w:rFonts w:hint="eastAsia"/>
        </w:rPr>
        <w:t>需要保护的建筑物、构筑物</w:t>
      </w:r>
    </w:p>
    <w:p>
      <w:pPr>
        <w:ind w:firstLine="482"/>
        <w:rPr>
          <w:b/>
          <w:u w:val="single"/>
        </w:rPr>
      </w:pPr>
      <w:r>
        <w:rPr>
          <w:rFonts w:hint="eastAsia"/>
          <w:b/>
          <w:u w:val="single"/>
        </w:rPr>
        <w:t>历史文化街区内所有的建筑物、构筑物应按</w:t>
      </w:r>
      <w:r>
        <w:fldChar w:fldCharType="begin"/>
      </w:r>
      <w:r>
        <w:instrText xml:space="preserve"> REF _Ref496652451 \h  \* MERGEFORMAT </w:instrText>
      </w:r>
      <w:r>
        <w:fldChar w:fldCharType="separate"/>
      </w:r>
      <w:r>
        <w:rPr>
          <w:rFonts w:hint="eastAsia"/>
          <w:b/>
          <w:u w:val="single"/>
        </w:rPr>
        <w:t>表格</w:t>
      </w:r>
      <w:r>
        <w:rPr>
          <w:b/>
          <w:u w:val="single"/>
        </w:rPr>
        <w:t>2</w:t>
      </w:r>
      <w:r>
        <w:rPr>
          <w:rFonts w:hint="eastAsia"/>
          <w:b/>
          <w:u w:val="single"/>
        </w:rPr>
        <w:t>历史文化街区建筑物、构筑物保护与整治方式</w:t>
      </w:r>
      <w:r>
        <w:fldChar w:fldCharType="end"/>
      </w:r>
      <w:r>
        <w:rPr>
          <w:rFonts w:hint="eastAsia"/>
          <w:b/>
          <w:u w:val="single"/>
        </w:rPr>
        <w:t>的规定选定相应的保护和整治方式。</w:t>
      </w:r>
    </w:p>
    <w:p>
      <w:pPr>
        <w:pStyle w:val="13"/>
        <w:keepNext/>
        <w:ind w:firstLine="402"/>
        <w:rPr>
          <w:b/>
          <w:u w:val="single"/>
        </w:rPr>
      </w:pPr>
      <w:r>
        <w:rPr>
          <w:rFonts w:hint="eastAsia"/>
          <w:b/>
          <w:u w:val="single"/>
        </w:rPr>
        <w:t>表格</w:t>
      </w:r>
      <w:r>
        <w:rPr>
          <w:b/>
          <w:u w:val="single"/>
        </w:rPr>
        <w:fldChar w:fldCharType="begin"/>
      </w:r>
      <w:r>
        <w:rPr>
          <w:rFonts w:hint="eastAsia"/>
          <w:b/>
          <w:u w:val="single"/>
        </w:rPr>
        <w:instrText xml:space="preserve">SEQ 表格 \* ARABIC</w:instrText>
      </w:r>
      <w:r>
        <w:rPr>
          <w:b/>
          <w:u w:val="single"/>
        </w:rPr>
        <w:fldChar w:fldCharType="separate"/>
      </w:r>
      <w:r>
        <w:rPr>
          <w:b/>
          <w:u w:val="single"/>
        </w:rPr>
        <w:t>3</w:t>
      </w:r>
      <w:r>
        <w:rPr>
          <w:b/>
          <w:u w:val="single"/>
        </w:rPr>
        <w:fldChar w:fldCharType="end"/>
      </w:r>
      <w:r>
        <w:rPr>
          <w:rFonts w:hint="eastAsia"/>
          <w:b/>
          <w:kern w:val="0"/>
          <w:u w:val="single"/>
        </w:rPr>
        <w:t>历史文化街区建筑物、构筑物保护与整治方式</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423"/>
        <w:gridCol w:w="839"/>
        <w:gridCol w:w="1149"/>
        <w:gridCol w:w="1795"/>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531" w:type="dxa"/>
            <w:vMerge w:val="restart"/>
            <w:tcBorders>
              <w:bottom w:val="nil"/>
            </w:tcBorders>
            <w:vAlign w:val="center"/>
          </w:tcPr>
          <w:p>
            <w:pPr>
              <w:spacing w:line="240" w:lineRule="auto"/>
              <w:ind w:firstLine="0" w:firstLineChars="0"/>
              <w:jc w:val="center"/>
              <w:rPr>
                <w:b/>
                <w:u w:val="single"/>
              </w:rPr>
            </w:pPr>
            <w:r>
              <w:rPr>
                <w:rFonts w:hint="eastAsia"/>
                <w:b/>
                <w:u w:val="single"/>
              </w:rPr>
              <w:t>分类</w:t>
            </w:r>
          </w:p>
        </w:tc>
        <w:tc>
          <w:tcPr>
            <w:tcW w:w="1423" w:type="dxa"/>
            <w:vMerge w:val="restart"/>
            <w:vAlign w:val="center"/>
          </w:tcPr>
          <w:p>
            <w:pPr>
              <w:spacing w:line="240" w:lineRule="auto"/>
              <w:ind w:firstLine="0" w:firstLineChars="0"/>
              <w:jc w:val="center"/>
              <w:rPr>
                <w:b/>
                <w:u w:val="single"/>
              </w:rPr>
            </w:pPr>
            <w:r>
              <w:rPr>
                <w:rFonts w:hint="eastAsia"/>
                <w:b/>
                <w:u w:val="single"/>
              </w:rPr>
              <w:t>文物保护单位</w:t>
            </w:r>
          </w:p>
        </w:tc>
        <w:tc>
          <w:tcPr>
            <w:tcW w:w="839" w:type="dxa"/>
            <w:vMerge w:val="restart"/>
            <w:vAlign w:val="center"/>
          </w:tcPr>
          <w:p>
            <w:pPr>
              <w:spacing w:line="240" w:lineRule="auto"/>
              <w:ind w:firstLine="0" w:firstLineChars="0"/>
              <w:jc w:val="left"/>
              <w:rPr>
                <w:b/>
                <w:u w:val="single"/>
              </w:rPr>
            </w:pPr>
            <w:r>
              <w:rPr>
                <w:rFonts w:hint="eastAsia"/>
                <w:b/>
                <w:u w:val="single"/>
              </w:rPr>
              <w:t>历史建筑</w:t>
            </w:r>
          </w:p>
        </w:tc>
        <w:tc>
          <w:tcPr>
            <w:tcW w:w="1149" w:type="dxa"/>
            <w:vMerge w:val="restart"/>
            <w:vAlign w:val="center"/>
          </w:tcPr>
          <w:p>
            <w:pPr>
              <w:spacing w:line="240" w:lineRule="auto"/>
              <w:ind w:firstLine="0" w:firstLineChars="0"/>
              <w:jc w:val="left"/>
              <w:rPr>
                <w:b/>
                <w:u w:val="single"/>
              </w:rPr>
            </w:pPr>
            <w:r>
              <w:rPr>
                <w:rFonts w:hint="eastAsia"/>
                <w:b/>
                <w:u w:val="single"/>
              </w:rPr>
              <w:t>传统风貌建筑</w:t>
            </w:r>
          </w:p>
        </w:tc>
        <w:tc>
          <w:tcPr>
            <w:tcW w:w="4295" w:type="dxa"/>
            <w:gridSpan w:val="2"/>
            <w:vAlign w:val="center"/>
          </w:tcPr>
          <w:p>
            <w:pPr>
              <w:spacing w:line="240" w:lineRule="auto"/>
              <w:ind w:firstLine="0" w:firstLineChars="0"/>
              <w:jc w:val="left"/>
              <w:rPr>
                <w:b/>
                <w:u w:val="single"/>
              </w:rPr>
            </w:pPr>
            <w:r>
              <w:rPr>
                <w:rFonts w:hint="eastAsia"/>
                <w:b/>
                <w:u w:val="single"/>
              </w:rPr>
              <w:t>一般建筑物、构筑物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1531" w:type="dxa"/>
            <w:vMerge w:val="continue"/>
            <w:tcBorders>
              <w:bottom w:val="nil"/>
            </w:tcBorders>
            <w:vAlign w:val="center"/>
          </w:tcPr>
          <w:p>
            <w:pPr>
              <w:spacing w:line="240" w:lineRule="auto"/>
              <w:ind w:firstLine="0" w:firstLineChars="0"/>
              <w:jc w:val="left"/>
              <w:rPr>
                <w:b/>
                <w:u w:val="single"/>
              </w:rPr>
            </w:pPr>
          </w:p>
        </w:tc>
        <w:tc>
          <w:tcPr>
            <w:tcW w:w="1423" w:type="dxa"/>
            <w:vMerge w:val="continue"/>
            <w:vAlign w:val="center"/>
          </w:tcPr>
          <w:p>
            <w:pPr>
              <w:spacing w:line="240" w:lineRule="auto"/>
              <w:ind w:firstLine="0" w:firstLineChars="0"/>
              <w:jc w:val="left"/>
              <w:rPr>
                <w:b/>
                <w:u w:val="single"/>
              </w:rPr>
            </w:pPr>
          </w:p>
        </w:tc>
        <w:tc>
          <w:tcPr>
            <w:tcW w:w="839" w:type="dxa"/>
            <w:vMerge w:val="continue"/>
            <w:vAlign w:val="center"/>
          </w:tcPr>
          <w:p>
            <w:pPr>
              <w:spacing w:line="240" w:lineRule="auto"/>
              <w:ind w:firstLine="0" w:firstLineChars="0"/>
              <w:jc w:val="left"/>
              <w:rPr>
                <w:b/>
                <w:u w:val="single"/>
              </w:rPr>
            </w:pPr>
          </w:p>
        </w:tc>
        <w:tc>
          <w:tcPr>
            <w:tcW w:w="1149" w:type="dxa"/>
            <w:vMerge w:val="continue"/>
            <w:vAlign w:val="center"/>
          </w:tcPr>
          <w:p>
            <w:pPr>
              <w:spacing w:line="240" w:lineRule="auto"/>
              <w:ind w:firstLine="0" w:firstLineChars="0"/>
              <w:jc w:val="left"/>
              <w:rPr>
                <w:b/>
                <w:u w:val="single"/>
              </w:rPr>
            </w:pPr>
          </w:p>
        </w:tc>
        <w:tc>
          <w:tcPr>
            <w:tcW w:w="1795" w:type="dxa"/>
            <w:vAlign w:val="center"/>
          </w:tcPr>
          <w:p>
            <w:pPr>
              <w:spacing w:line="240" w:lineRule="auto"/>
              <w:ind w:firstLine="0" w:firstLineChars="0"/>
              <w:jc w:val="left"/>
              <w:rPr>
                <w:b/>
                <w:u w:val="single"/>
              </w:rPr>
            </w:pPr>
            <w:r>
              <w:rPr>
                <w:rFonts w:hint="eastAsia"/>
                <w:b/>
                <w:u w:val="single"/>
              </w:rPr>
              <w:t>与历史风貌无冲突的其他建筑物、构筑物</w:t>
            </w:r>
          </w:p>
        </w:tc>
        <w:tc>
          <w:tcPr>
            <w:tcW w:w="2500" w:type="dxa"/>
            <w:vAlign w:val="center"/>
          </w:tcPr>
          <w:p>
            <w:pPr>
              <w:spacing w:line="240" w:lineRule="auto"/>
              <w:ind w:firstLine="0" w:firstLineChars="0"/>
              <w:jc w:val="left"/>
              <w:rPr>
                <w:b/>
                <w:u w:val="single"/>
              </w:rPr>
            </w:pPr>
            <w:r>
              <w:rPr>
                <w:rFonts w:hint="eastAsia"/>
                <w:b/>
                <w:u w:val="single"/>
              </w:rPr>
              <w:t>与历史风貌有冲突的其他建筑物、构筑物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531" w:type="dxa"/>
            <w:vAlign w:val="center"/>
          </w:tcPr>
          <w:p>
            <w:pPr>
              <w:spacing w:line="240" w:lineRule="auto"/>
              <w:ind w:firstLine="0" w:firstLineChars="0"/>
              <w:jc w:val="left"/>
              <w:rPr>
                <w:b/>
                <w:u w:val="single"/>
              </w:rPr>
            </w:pPr>
            <w:r>
              <w:rPr>
                <w:rFonts w:hint="eastAsia"/>
                <w:b/>
                <w:u w:val="single"/>
              </w:rPr>
              <w:t>保护与整治方式</w:t>
            </w:r>
          </w:p>
        </w:tc>
        <w:tc>
          <w:tcPr>
            <w:tcW w:w="1423" w:type="dxa"/>
            <w:vAlign w:val="center"/>
          </w:tcPr>
          <w:p>
            <w:pPr>
              <w:spacing w:line="240" w:lineRule="auto"/>
              <w:ind w:firstLine="0" w:firstLineChars="0"/>
              <w:jc w:val="left"/>
              <w:rPr>
                <w:b/>
                <w:u w:val="single"/>
              </w:rPr>
            </w:pPr>
            <w:r>
              <w:rPr>
                <w:rFonts w:hint="eastAsia"/>
                <w:b/>
                <w:u w:val="single"/>
              </w:rPr>
              <w:t>修缮</w:t>
            </w:r>
          </w:p>
        </w:tc>
        <w:tc>
          <w:tcPr>
            <w:tcW w:w="839" w:type="dxa"/>
            <w:vAlign w:val="center"/>
          </w:tcPr>
          <w:p>
            <w:pPr>
              <w:spacing w:line="240" w:lineRule="auto"/>
              <w:ind w:firstLine="0" w:firstLineChars="0"/>
              <w:jc w:val="left"/>
              <w:rPr>
                <w:b/>
                <w:u w:val="single"/>
              </w:rPr>
            </w:pPr>
            <w:r>
              <w:rPr>
                <w:rFonts w:hint="eastAsia"/>
                <w:b/>
                <w:u w:val="single"/>
              </w:rPr>
              <w:t>修缮</w:t>
            </w:r>
          </w:p>
          <w:p>
            <w:pPr>
              <w:spacing w:line="240" w:lineRule="auto"/>
              <w:ind w:firstLine="0" w:firstLineChars="0"/>
              <w:jc w:val="left"/>
              <w:rPr>
                <w:b/>
                <w:u w:val="single"/>
              </w:rPr>
            </w:pPr>
            <w:r>
              <w:rPr>
                <w:rFonts w:hint="eastAsia"/>
                <w:b/>
                <w:u w:val="single"/>
              </w:rPr>
              <w:t>维修</w:t>
            </w:r>
          </w:p>
          <w:p>
            <w:pPr>
              <w:spacing w:line="240" w:lineRule="auto"/>
              <w:ind w:firstLine="0" w:firstLineChars="0"/>
              <w:jc w:val="left"/>
              <w:rPr>
                <w:b/>
                <w:u w:val="single"/>
              </w:rPr>
            </w:pPr>
            <w:r>
              <w:rPr>
                <w:rFonts w:hint="eastAsia"/>
                <w:b/>
                <w:u w:val="single"/>
              </w:rPr>
              <w:t>改善</w:t>
            </w:r>
          </w:p>
        </w:tc>
        <w:tc>
          <w:tcPr>
            <w:tcW w:w="1149" w:type="dxa"/>
            <w:vAlign w:val="center"/>
          </w:tcPr>
          <w:p>
            <w:pPr>
              <w:spacing w:line="240" w:lineRule="auto"/>
              <w:ind w:firstLine="0" w:firstLineChars="0"/>
              <w:jc w:val="left"/>
              <w:rPr>
                <w:b/>
                <w:u w:val="single"/>
              </w:rPr>
            </w:pPr>
            <w:r>
              <w:rPr>
                <w:rFonts w:hint="eastAsia"/>
                <w:b/>
                <w:u w:val="single"/>
              </w:rPr>
              <w:t>维修</w:t>
            </w:r>
          </w:p>
          <w:p>
            <w:pPr>
              <w:spacing w:line="240" w:lineRule="auto"/>
              <w:ind w:firstLine="0" w:firstLineChars="0"/>
              <w:jc w:val="left"/>
              <w:rPr>
                <w:b/>
                <w:u w:val="single"/>
              </w:rPr>
            </w:pPr>
            <w:r>
              <w:rPr>
                <w:rFonts w:hint="eastAsia"/>
                <w:b/>
                <w:u w:val="single"/>
              </w:rPr>
              <w:t>改善</w:t>
            </w:r>
          </w:p>
        </w:tc>
        <w:tc>
          <w:tcPr>
            <w:tcW w:w="1795" w:type="dxa"/>
            <w:vAlign w:val="center"/>
          </w:tcPr>
          <w:p>
            <w:pPr>
              <w:spacing w:line="240" w:lineRule="auto"/>
              <w:ind w:firstLine="0" w:firstLineChars="0"/>
              <w:jc w:val="left"/>
              <w:rPr>
                <w:b/>
                <w:u w:val="single"/>
              </w:rPr>
            </w:pPr>
            <w:r>
              <w:rPr>
                <w:rFonts w:hint="eastAsia"/>
                <w:b/>
                <w:u w:val="single"/>
              </w:rPr>
              <w:t>保留</w:t>
            </w:r>
          </w:p>
          <w:p>
            <w:pPr>
              <w:spacing w:line="240" w:lineRule="auto"/>
              <w:ind w:firstLine="0" w:firstLineChars="0"/>
              <w:jc w:val="left"/>
              <w:rPr>
                <w:b/>
                <w:u w:val="single"/>
              </w:rPr>
            </w:pPr>
            <w:r>
              <w:rPr>
                <w:rFonts w:hint="eastAsia"/>
                <w:b/>
                <w:u w:val="single"/>
              </w:rPr>
              <w:t>维修</w:t>
            </w:r>
          </w:p>
          <w:p>
            <w:pPr>
              <w:spacing w:line="240" w:lineRule="auto"/>
              <w:ind w:firstLine="0" w:firstLineChars="0"/>
              <w:jc w:val="left"/>
              <w:rPr>
                <w:b/>
                <w:u w:val="single"/>
              </w:rPr>
            </w:pPr>
            <w:r>
              <w:rPr>
                <w:rFonts w:hint="eastAsia"/>
                <w:b/>
                <w:u w:val="single"/>
              </w:rPr>
              <w:t>改善</w:t>
            </w:r>
          </w:p>
        </w:tc>
        <w:tc>
          <w:tcPr>
            <w:tcW w:w="2500" w:type="dxa"/>
            <w:vAlign w:val="center"/>
          </w:tcPr>
          <w:p>
            <w:pPr>
              <w:spacing w:line="240" w:lineRule="auto"/>
              <w:ind w:firstLine="0" w:firstLineChars="0"/>
              <w:jc w:val="left"/>
              <w:rPr>
                <w:b/>
                <w:u w:val="single"/>
              </w:rPr>
            </w:pPr>
            <w:r>
              <w:rPr>
                <w:rFonts w:hint="eastAsia"/>
                <w:b/>
                <w:u w:val="single"/>
              </w:rPr>
              <w:t>整治</w:t>
            </w:r>
          </w:p>
          <w:p>
            <w:pPr>
              <w:spacing w:line="240" w:lineRule="auto"/>
              <w:ind w:firstLine="0" w:firstLineChars="0"/>
              <w:jc w:val="left"/>
              <w:rPr>
                <w:b/>
                <w:u w:val="single"/>
              </w:rPr>
            </w:pPr>
            <w:r>
              <w:rPr>
                <w:rFonts w:hint="eastAsia"/>
                <w:b/>
                <w:u w:val="single"/>
              </w:rPr>
              <w:t>拆除重建</w:t>
            </w:r>
          </w:p>
          <w:p>
            <w:pPr>
              <w:spacing w:line="240" w:lineRule="auto"/>
              <w:ind w:firstLine="0" w:firstLineChars="0"/>
              <w:jc w:val="left"/>
              <w:rPr>
                <w:b/>
                <w:u w:val="single"/>
              </w:rPr>
            </w:pPr>
            <w:r>
              <w:rPr>
                <w:rFonts w:hint="eastAsia"/>
                <w:b/>
                <w:u w:val="single"/>
              </w:rPr>
              <w:t>拆除不建</w:t>
            </w:r>
          </w:p>
        </w:tc>
      </w:tr>
    </w:tbl>
    <w:p>
      <w:pPr>
        <w:ind w:firstLine="482"/>
        <w:rPr>
          <w:b/>
          <w:u w:val="single"/>
        </w:rPr>
      </w:pPr>
      <w:r>
        <w:rPr>
          <w:rFonts w:hint="eastAsia"/>
          <w:b/>
          <w:u w:val="single"/>
        </w:rPr>
        <w:t>本次规划对红军城历史文化街区核心保护范围内的建筑物、构筑物采取分级保护，分别针对文物保护单位、传统风貌建筑、其他建筑采取不同的保护方式。</w:t>
      </w:r>
    </w:p>
    <w:p>
      <w:pPr>
        <w:ind w:firstLine="482"/>
        <w:rPr>
          <w:b/>
          <w:u w:val="single"/>
        </w:rPr>
      </w:pPr>
      <w:r>
        <w:rPr>
          <w:rFonts w:hint="eastAsia"/>
          <w:b/>
          <w:u w:val="single"/>
        </w:rPr>
        <w:t>1）文物保护单位：采取修缮的保护方式，即</w:t>
      </w:r>
      <w:r>
        <w:rPr>
          <w:rFonts w:hint="eastAsia" w:hAnsi="宋体"/>
          <w:b/>
          <w:u w:val="single"/>
        </w:rPr>
        <w:t>日常保养、防护加固、现状修整、重点修复等。</w:t>
      </w:r>
    </w:p>
    <w:p>
      <w:pPr>
        <w:ind w:firstLine="482"/>
        <w:rPr>
          <w:b/>
          <w:u w:val="single"/>
        </w:rPr>
      </w:pPr>
      <w:r>
        <w:rPr>
          <w:rFonts w:hint="eastAsia"/>
          <w:b/>
          <w:u w:val="single"/>
        </w:rPr>
        <w:t>2）传统风貌建筑：维修、改善</w:t>
      </w:r>
    </w:p>
    <w:p>
      <w:pPr>
        <w:ind w:firstLine="482"/>
        <w:rPr>
          <w:b/>
          <w:u w:val="single"/>
        </w:rPr>
      </w:pPr>
      <w:r>
        <w:rPr>
          <w:rFonts w:hint="eastAsia"/>
          <w:b/>
          <w:u w:val="single"/>
        </w:rPr>
        <w:t>维修内部功能较完善的传统风貌建筑，即对建筑物、构筑物进行不改变外观特征的加固和保护性复原活动；</w:t>
      </w:r>
    </w:p>
    <w:p>
      <w:pPr>
        <w:ind w:firstLine="482"/>
        <w:rPr>
          <w:b/>
          <w:u w:val="single"/>
        </w:rPr>
      </w:pPr>
      <w:r>
        <w:rPr>
          <w:rFonts w:hint="eastAsia"/>
          <w:b/>
          <w:u w:val="single"/>
        </w:rPr>
        <w:t>改善内部功能不完善，基础设施条件落后的传统风貌建筑，</w:t>
      </w:r>
      <w:r>
        <w:rPr>
          <w:rFonts w:hint="eastAsia" w:hAnsi="宋体"/>
          <w:b/>
          <w:u w:val="single"/>
        </w:rPr>
        <w:t>对建筑物、构筑物采取不改变外观特征，调整、完善内部布局及设施的保护方式。</w:t>
      </w:r>
    </w:p>
    <w:p>
      <w:pPr>
        <w:ind w:firstLine="482"/>
        <w:rPr>
          <w:b/>
          <w:u w:val="single"/>
        </w:rPr>
      </w:pPr>
      <w:r>
        <w:rPr>
          <w:rFonts w:hint="eastAsia"/>
          <w:b/>
          <w:u w:val="single"/>
        </w:rPr>
        <w:t>3）其他建筑：保留并改善、保留并维修、整治、拆除</w:t>
      </w:r>
    </w:p>
    <w:p>
      <w:pPr>
        <w:ind w:firstLine="482"/>
        <w:rPr>
          <w:b/>
          <w:u w:val="single"/>
        </w:rPr>
      </w:pPr>
      <w:r>
        <w:rPr>
          <w:rFonts w:hint="eastAsia"/>
          <w:b/>
          <w:u w:val="single"/>
        </w:rPr>
        <w:t>保留并维修与历史风貌无冲突、内部功能较完善的其他建筑，对建筑物、构筑物进行不改变外观特征的加固和保护性复原活动；</w:t>
      </w:r>
    </w:p>
    <w:p>
      <w:pPr>
        <w:ind w:firstLine="482"/>
        <w:rPr>
          <w:b/>
          <w:u w:val="single"/>
        </w:rPr>
      </w:pPr>
      <w:r>
        <w:rPr>
          <w:rFonts w:hint="eastAsia"/>
          <w:b/>
          <w:u w:val="single"/>
        </w:rPr>
        <w:t>保留并改善与历史风貌无冲突、内部功能不完善、基础设施条件落后的其他建筑，对建筑物、构筑物进行不改变外观特征的加固和保护性复原活动；</w:t>
      </w:r>
    </w:p>
    <w:p>
      <w:pPr>
        <w:ind w:firstLine="482"/>
        <w:rPr>
          <w:b/>
          <w:u w:val="single"/>
        </w:rPr>
      </w:pPr>
      <w:r>
        <w:rPr>
          <w:rFonts w:hint="eastAsia"/>
          <w:b/>
          <w:u w:val="single"/>
        </w:rPr>
        <w:t>整治与历史风貌有冲突、且可通过整治与历史风貌保持协调的其他建筑。</w:t>
      </w:r>
      <w:r>
        <w:rPr>
          <w:rFonts w:hint="eastAsia" w:hAnsi="宋体"/>
          <w:b/>
          <w:u w:val="single"/>
        </w:rPr>
        <w:t>为保持历史文化街区风貌完整性、建成环境品质的提升的各项治理活动</w:t>
      </w:r>
      <w:r>
        <w:rPr>
          <w:rFonts w:hint="eastAsia"/>
          <w:b/>
          <w:u w:val="single"/>
        </w:rPr>
        <w:t>；</w:t>
      </w:r>
    </w:p>
    <w:p>
      <w:pPr>
        <w:ind w:firstLine="482"/>
        <w:rPr>
          <w:b/>
          <w:u w:val="single"/>
        </w:rPr>
      </w:pPr>
      <w:r>
        <w:rPr>
          <w:rFonts w:hint="eastAsia"/>
          <w:b/>
          <w:u w:val="single"/>
        </w:rPr>
        <w:t>拆除无法通过整治与历史风貌保持一致的建筑物。历史文化街区内拆除建筑的再建设，应符合历史风貌的要求。</w:t>
      </w:r>
    </w:p>
    <w:p>
      <w:pPr>
        <w:pStyle w:val="80"/>
        <w:numPr>
          <w:ilvl w:val="0"/>
          <w:numId w:val="35"/>
        </w:numPr>
        <w:ind w:right="0" w:rightChars="0"/>
        <w:outlineLvl w:val="3"/>
      </w:pPr>
      <w:r>
        <w:rPr>
          <w:rFonts w:hint="eastAsia"/>
        </w:rPr>
        <w:t>历史环境要素</w:t>
      </w:r>
    </w:p>
    <w:p>
      <w:pPr>
        <w:ind w:firstLine="480"/>
      </w:pPr>
      <w:r>
        <w:rPr>
          <w:rFonts w:hint="eastAsia"/>
        </w:rPr>
        <w:t>历史文化街区内的历史环境要素应列表逐项进行调查统计。</w:t>
      </w:r>
      <w:r>
        <w:rPr>
          <w:rFonts w:hint="eastAsia"/>
          <w:b/>
          <w:u w:val="single"/>
        </w:rPr>
        <w:t>历史文化街区内构成历史风貌的环境要素的保护方式应为修缮、维修。历史文化街区内与历史风貌相冲突的环境要素的整治方式应为整治、拆除。</w:t>
      </w:r>
    </w:p>
    <w:p>
      <w:pPr>
        <w:pStyle w:val="79"/>
        <w:numPr>
          <w:ilvl w:val="0"/>
          <w:numId w:val="27"/>
        </w:numPr>
        <w:ind w:firstLineChars="0"/>
      </w:pPr>
      <w:bookmarkStart w:id="114" w:name="_Toc497180846"/>
      <w:r>
        <w:rPr>
          <w:rFonts w:hint="eastAsia"/>
        </w:rPr>
        <w:t>主要街巷立面保护</w:t>
      </w:r>
    </w:p>
    <w:p>
      <w:pPr>
        <w:ind w:firstLine="482"/>
        <w:rPr>
          <w:b/>
          <w:u w:val="single"/>
        </w:rPr>
      </w:pPr>
      <w:r>
        <w:rPr>
          <w:rFonts w:hint="eastAsia"/>
          <w:b/>
          <w:u w:val="single"/>
        </w:rPr>
        <w:t>1）路面铺装：铺装以青石板为主，采用大尺寸错缝拼接形式。使用小青瓦、小青砖进行分割，整体色条以冷色调为主，体现淳朴、市井的街巷空间。</w:t>
      </w:r>
    </w:p>
    <w:p>
      <w:pPr>
        <w:ind w:firstLine="482"/>
        <w:rPr>
          <w:b/>
          <w:u w:val="single"/>
        </w:rPr>
      </w:pPr>
      <w:r>
        <w:rPr>
          <w:rFonts w:hint="eastAsia"/>
          <w:b/>
          <w:u w:val="single"/>
        </w:rPr>
        <w:t>2）一层建筑：维持原有传统风貌，统一墙面材质及色调，统一门窗颜色，门窗样式力求在变化中求得整体协调，达到建筑美学的韵律与节奏效果。店铺招牌、遮阳棚进行统一的布置。</w:t>
      </w:r>
    </w:p>
    <w:p>
      <w:pPr>
        <w:ind w:firstLine="482"/>
        <w:rPr>
          <w:b/>
          <w:u w:val="single"/>
        </w:rPr>
      </w:pPr>
      <w:r>
        <w:rPr>
          <w:rFonts w:hint="eastAsia"/>
          <w:b/>
          <w:u w:val="single"/>
        </w:rPr>
        <w:t>3）二层以上建筑：统一墙面颜色，协调屋顶、床、玻璃颜色；集中处理空调外机的装饰构件，形成层次感和韵律感；提炼红色文化元素，作为沿街墙体、构筑物的点睛之笔。</w:t>
      </w:r>
    </w:p>
    <w:p>
      <w:pPr>
        <w:ind w:firstLine="482"/>
        <w:rPr>
          <w:b/>
        </w:rPr>
      </w:pPr>
      <w:r>
        <w:rPr>
          <w:rFonts w:hint="eastAsia"/>
          <w:b/>
          <w:u w:val="single"/>
        </w:rPr>
        <w:t>4）特殊建筑：保留红军文化特色和红色文化符号的建筑，采取风貌复原的保护措施。</w:t>
      </w:r>
    </w:p>
    <w:p>
      <w:pPr>
        <w:pStyle w:val="79"/>
        <w:numPr>
          <w:ilvl w:val="0"/>
          <w:numId w:val="27"/>
        </w:numPr>
        <w:ind w:firstLineChars="0"/>
      </w:pPr>
      <w:r>
        <w:rPr>
          <w:rFonts w:hint="eastAsia"/>
        </w:rPr>
        <w:t>道路系统及市政基础设施完善</w:t>
      </w:r>
    </w:p>
    <w:p>
      <w:pPr>
        <w:ind w:firstLine="480"/>
      </w:pPr>
      <w:r>
        <w:rPr>
          <w:rFonts w:hint="eastAsia"/>
        </w:rPr>
        <w:t>（1）道路系统：采用宁静化的交通设计，优化步行和自行车交通环境，红军城逐步禁止现状威胁行人安全、影响整体风貌的摩托车、电瓶车入内。道路的整修宜采用传统的路面材料及铺砌方式。</w:t>
      </w:r>
    </w:p>
    <w:p>
      <w:pPr>
        <w:ind w:firstLine="480"/>
      </w:pPr>
      <w:r>
        <w:rPr>
          <w:rFonts w:hint="eastAsia"/>
        </w:rPr>
        <w:t>（2）市政基础设施：逐步完善红军城基础设施。采用小型化、</w:t>
      </w:r>
      <w:r>
        <w:t>隐蔽型</w:t>
      </w:r>
      <w:r>
        <w:rPr>
          <w:rFonts w:hint="eastAsia"/>
        </w:rPr>
        <w:t>的市政站点设施，有条件的可采用地下方式或与建筑结合方式建设，其建筑体量、色彩、高度等应与周边建筑风格相协调。</w:t>
      </w:r>
      <w:r>
        <w:rPr>
          <w:rFonts w:hint="eastAsia"/>
          <w:szCs w:val="28"/>
        </w:rPr>
        <w:t>完善排水设施和污水截留设施，粪便污水应经化粪池处理后排放。</w:t>
      </w:r>
    </w:p>
    <w:p>
      <w:pPr>
        <w:ind w:firstLine="480"/>
        <w:rPr>
          <w:b/>
          <w:u w:val="single"/>
        </w:rPr>
      </w:pPr>
      <w:r>
        <w:rPr>
          <w:rFonts w:hint="eastAsia"/>
        </w:rPr>
        <w:t>（3）环卫设施：文昌街、龙潭街等主要街巷完善垃圾收集设施，颜色与传统风貌相协调。</w:t>
      </w:r>
      <w:r>
        <w:rPr>
          <w:rFonts w:hint="eastAsia"/>
          <w:b/>
          <w:u w:val="single"/>
        </w:rPr>
        <w:t>沿主要街巷布置公共厕所。</w:t>
      </w:r>
    </w:p>
    <w:p>
      <w:pPr>
        <w:pStyle w:val="76"/>
        <w:ind w:left="704"/>
        <w:rPr>
          <w:color w:val="auto"/>
        </w:rPr>
      </w:pPr>
      <w:bookmarkStart w:id="115" w:name="_Toc3889230"/>
      <w:r>
        <w:rPr>
          <w:rFonts w:hint="eastAsia"/>
          <w:color w:val="auto"/>
        </w:rPr>
        <w:t>王庙街历史文化街区</w:t>
      </w:r>
      <w:bookmarkEnd w:id="115"/>
    </w:p>
    <w:p>
      <w:pPr>
        <w:ind w:firstLine="480"/>
      </w:pPr>
      <w:r>
        <w:rPr>
          <w:rFonts w:hint="eastAsia" w:ascii="宋体" w:hAnsi="宋体"/>
        </w:rPr>
        <w:t>王庙街历史文化街区主要涵盖川北民居历史遗迹。</w:t>
      </w:r>
    </w:p>
    <w:p>
      <w:pPr>
        <w:pStyle w:val="79"/>
        <w:numPr>
          <w:ilvl w:val="0"/>
          <w:numId w:val="36"/>
        </w:numPr>
        <w:ind w:firstLineChars="0"/>
      </w:pPr>
      <w:r>
        <w:rPr>
          <w:rFonts w:hint="eastAsia"/>
        </w:rPr>
        <w:t>保护范围</w:t>
      </w:r>
    </w:p>
    <w:p>
      <w:pPr>
        <w:pStyle w:val="80"/>
        <w:numPr>
          <w:ilvl w:val="0"/>
          <w:numId w:val="37"/>
        </w:numPr>
        <w:ind w:right="0" w:rightChars="0"/>
        <w:outlineLvl w:val="3"/>
      </w:pPr>
      <w:r>
        <w:rPr>
          <w:rFonts w:hint="eastAsia"/>
        </w:rPr>
        <w:t>核心保护范围</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四至范围</w:t>
      </w:r>
      <w:r>
        <w:rPr>
          <w:rFonts w:ascii="宋体" w:hAnsi="宋体"/>
          <w:b/>
          <w:bCs/>
          <w:u w:val="single"/>
        </w:rPr>
        <w:t>：</w:t>
      </w:r>
      <w:r>
        <w:rPr>
          <w:rFonts w:hint="eastAsia" w:ascii="宋体" w:hAnsi="宋体"/>
          <w:b/>
          <w:bCs/>
          <w:u w:val="single"/>
        </w:rPr>
        <w:t>涵盖王庙街、木市街及沿街传统风貌建筑。</w:t>
      </w:r>
      <w:r>
        <w:rPr>
          <w:rFonts w:ascii="宋体" w:hAnsi="宋体"/>
          <w:b/>
          <w:bCs/>
          <w:u w:val="single"/>
        </w:rPr>
        <w:t>以</w:t>
      </w:r>
      <w:r>
        <w:rPr>
          <w:rFonts w:hint="eastAsia" w:ascii="宋体" w:hAnsi="宋体"/>
          <w:b/>
          <w:bCs/>
          <w:u w:val="single"/>
        </w:rPr>
        <w:t>红四方面军水兵连组建地旧址、广元县苏维埃交通委员会</w:t>
      </w:r>
      <w:r>
        <w:rPr>
          <w:rFonts w:ascii="宋体" w:hAnsi="宋体"/>
          <w:b/>
          <w:bCs/>
          <w:u w:val="single"/>
        </w:rPr>
        <w:t>等个文物点</w:t>
      </w:r>
      <w:r>
        <w:rPr>
          <w:rFonts w:hint="eastAsia" w:ascii="宋体" w:hAnsi="宋体"/>
          <w:b/>
          <w:bCs/>
          <w:u w:val="single"/>
        </w:rPr>
        <w:t>用</w:t>
      </w:r>
      <w:r>
        <w:rPr>
          <w:rFonts w:ascii="宋体" w:hAnsi="宋体"/>
          <w:b/>
          <w:bCs/>
          <w:u w:val="single"/>
        </w:rPr>
        <w:t>地范围外延3米、其他沿街建筑占地范围外延3米形成核心保护范围。</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核心保护范围面积为</w:t>
      </w:r>
      <w:r>
        <w:rPr>
          <w:rFonts w:ascii="宋体" w:hAnsi="宋体"/>
          <w:b/>
          <w:bCs/>
          <w:u w:val="single"/>
        </w:rPr>
        <w:t>2.61公顷。</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保护要求：保护原有街巷格局、尺度、材质、铺装；延续地方民俗生活；保留红军驻地、商贸、居住相结合的用地布局。</w:t>
      </w:r>
    </w:p>
    <w:p>
      <w:pPr>
        <w:pStyle w:val="80"/>
        <w:numPr>
          <w:ilvl w:val="0"/>
          <w:numId w:val="37"/>
        </w:numPr>
        <w:ind w:right="0" w:rightChars="0"/>
        <w:outlineLvl w:val="3"/>
      </w:pPr>
      <w:r>
        <w:rPr>
          <w:rFonts w:hint="eastAsia"/>
        </w:rPr>
        <w:t>建设控制地带</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四至范围</w:t>
      </w:r>
      <w:r>
        <w:rPr>
          <w:rFonts w:ascii="宋体" w:hAnsi="宋体"/>
          <w:b/>
          <w:bCs/>
          <w:u w:val="single"/>
        </w:rPr>
        <w:t>：在核心保护范围外延20米范围内作为建设控制带范围，东至</w:t>
      </w:r>
      <w:r>
        <w:rPr>
          <w:rFonts w:hint="eastAsia" w:ascii="宋体" w:hAnsi="宋体"/>
          <w:b/>
          <w:bCs/>
          <w:u w:val="single"/>
        </w:rPr>
        <w:t>文昌街及龙潭街</w:t>
      </w:r>
      <w:r>
        <w:rPr>
          <w:rFonts w:ascii="宋体" w:hAnsi="宋体"/>
          <w:b/>
          <w:bCs/>
          <w:u w:val="single"/>
        </w:rPr>
        <w:t>历史文化街区，南至红军城路北侧红线，西至滨河路东侧红线。</w:t>
      </w:r>
    </w:p>
    <w:p>
      <w:pPr>
        <w:shd w:val="clear" w:color="auto" w:fill="FFFFFF"/>
        <w:spacing w:line="360" w:lineRule="auto"/>
        <w:ind w:firstLine="482"/>
        <w:textAlignment w:val="baseline"/>
      </w:pPr>
      <w:r>
        <w:rPr>
          <w:rFonts w:hint="eastAsia" w:ascii="宋体" w:hAnsi="宋体"/>
          <w:b/>
          <w:bCs/>
          <w:u w:val="single"/>
        </w:rPr>
        <w:t>建设控制地带面积为</w:t>
      </w:r>
      <w:r>
        <w:rPr>
          <w:rFonts w:ascii="宋体" w:hAnsi="宋体"/>
          <w:b/>
          <w:bCs/>
          <w:u w:val="single"/>
        </w:rPr>
        <w:t>1.59</w:t>
      </w:r>
      <w:r>
        <w:rPr>
          <w:rFonts w:hint="eastAsia" w:ascii="宋体" w:hAnsi="宋体"/>
          <w:b/>
          <w:bCs/>
          <w:u w:val="single"/>
        </w:rPr>
        <w:t>公顷。</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保护要求：建设控制地带应与核心保护范围的风貌协调，应提出建筑高度、体量、色彩等控制要求。</w:t>
      </w:r>
    </w:p>
    <w:p>
      <w:pPr>
        <w:shd w:val="clear" w:color="auto" w:fill="FFFFFF"/>
        <w:spacing w:line="360" w:lineRule="auto"/>
        <w:ind w:firstLine="482"/>
        <w:textAlignment w:val="baseline"/>
        <w:rPr>
          <w:rFonts w:ascii="宋体" w:hAnsi="宋体"/>
          <w:b/>
          <w:bCs/>
          <w:u w:val="single"/>
        </w:rPr>
      </w:pPr>
      <w:r>
        <w:rPr>
          <w:rFonts w:ascii="宋体" w:hAnsi="宋体"/>
          <w:b/>
          <w:bCs/>
          <w:u w:val="single"/>
        </w:rPr>
        <w:t>历史文化街区建设控制地带内应严格控制建筑的性质、高度、体量、色彩及形式。</w:t>
      </w:r>
    </w:p>
    <w:p>
      <w:pPr>
        <w:pStyle w:val="79"/>
        <w:numPr>
          <w:ilvl w:val="0"/>
          <w:numId w:val="27"/>
        </w:numPr>
        <w:ind w:firstLineChars="0"/>
      </w:pPr>
      <w:r>
        <w:rPr>
          <w:rFonts w:hint="eastAsia"/>
        </w:rPr>
        <w:t>建筑物、构筑物、历史环境要素及新建建筑保护要求</w:t>
      </w:r>
    </w:p>
    <w:p>
      <w:pPr>
        <w:ind w:firstLine="480"/>
      </w:pPr>
      <w:r>
        <w:rPr>
          <w:rFonts w:hint="eastAsia"/>
        </w:rPr>
        <w:t>王庙街历史文化街区与文昌街及龙潭街历史文化街区主要涵盖民居历史遗迹均位于历史城区，在空间上是构成红军城的紧密联系的一个整体，在特色上分别体现了红军文化和川北民居文化。</w:t>
      </w:r>
    </w:p>
    <w:p>
      <w:pPr>
        <w:ind w:firstLine="480"/>
      </w:pPr>
      <w:r>
        <w:rPr>
          <w:rFonts w:hint="eastAsia"/>
        </w:rPr>
        <w:t>因此，王庙街历史文化街区主要街巷立面保护要求见第四十七条。</w:t>
      </w:r>
    </w:p>
    <w:p>
      <w:pPr>
        <w:pStyle w:val="79"/>
        <w:numPr>
          <w:ilvl w:val="0"/>
          <w:numId w:val="27"/>
        </w:numPr>
        <w:ind w:firstLineChars="0"/>
      </w:pPr>
      <w:r>
        <w:rPr>
          <w:rFonts w:hint="eastAsia"/>
        </w:rPr>
        <w:t>主要街巷立面保护</w:t>
      </w:r>
    </w:p>
    <w:p>
      <w:pPr>
        <w:ind w:firstLine="480"/>
        <w:rPr>
          <w:rFonts w:ascii="宋体" w:hAnsi="宋体"/>
        </w:rPr>
      </w:pPr>
      <w:r>
        <w:rPr>
          <w:rFonts w:hint="eastAsia" w:ascii="宋体" w:hAnsi="宋体"/>
        </w:rPr>
        <w:t>王庙街历史文化街区与</w:t>
      </w:r>
      <w:r>
        <w:rPr>
          <w:rFonts w:hint="eastAsia"/>
        </w:rPr>
        <w:t>文昌街及龙潭街历史文化街区</w:t>
      </w:r>
      <w:r>
        <w:rPr>
          <w:rFonts w:hint="eastAsia" w:ascii="宋体" w:hAnsi="宋体"/>
        </w:rPr>
        <w:t>主要涵盖民居历史遗迹均位于历史城区，在空间上是构成红军城的紧密联系的一个整体，在特色上分别体现了红军文化和川北民居文化。</w:t>
      </w:r>
    </w:p>
    <w:p>
      <w:pPr>
        <w:ind w:firstLine="480"/>
      </w:pPr>
      <w:r>
        <w:rPr>
          <w:rFonts w:ascii="宋体" w:hAnsi="宋体"/>
        </w:rPr>
        <w:t>因此</w:t>
      </w:r>
      <w:r>
        <w:rPr>
          <w:rFonts w:hint="eastAsia" w:ascii="宋体" w:hAnsi="宋体"/>
        </w:rPr>
        <w:t>，</w:t>
      </w:r>
      <w:r>
        <w:rPr>
          <w:rFonts w:ascii="宋体" w:hAnsi="宋体"/>
        </w:rPr>
        <w:t>王庙街历史文化街区主要街巷立面保护要求见第四十七条</w:t>
      </w:r>
      <w:r>
        <w:rPr>
          <w:rFonts w:hint="eastAsia" w:ascii="宋体" w:hAnsi="宋体"/>
        </w:rPr>
        <w:t>。</w:t>
      </w:r>
    </w:p>
    <w:p>
      <w:pPr>
        <w:pStyle w:val="79"/>
        <w:numPr>
          <w:ilvl w:val="0"/>
          <w:numId w:val="27"/>
        </w:numPr>
        <w:ind w:firstLineChars="0"/>
      </w:pPr>
      <w:r>
        <w:rPr>
          <w:rFonts w:hint="eastAsia"/>
        </w:rPr>
        <w:t>道路系统及市政基础设施完善</w:t>
      </w:r>
    </w:p>
    <w:p>
      <w:pPr>
        <w:ind w:firstLine="480"/>
      </w:pPr>
      <w:r>
        <w:rPr>
          <w:rFonts w:hint="eastAsia"/>
        </w:rPr>
        <w:t>王庙街历史文化街区与文昌街及龙潭街历史文化街区主要涵盖民居历史遗迹均位于历史城区，在空间上是构成红军城的紧密联系的一个整体，在特色上分别体现了红军文化和川北民居文化。</w:t>
      </w:r>
    </w:p>
    <w:p>
      <w:pPr>
        <w:ind w:firstLine="480"/>
      </w:pPr>
      <w:r>
        <w:rPr>
          <w:rFonts w:hint="eastAsia"/>
        </w:rPr>
        <w:t>因此，王庙街历史文化街区主要街巷立面保护要求见第四十七条。</w:t>
      </w:r>
    </w:p>
    <w:p>
      <w:pPr>
        <w:pStyle w:val="76"/>
        <w:ind w:left="704"/>
        <w:rPr>
          <w:color w:val="auto"/>
        </w:rPr>
      </w:pPr>
      <w:bookmarkStart w:id="116" w:name="_Toc3889231"/>
      <w:r>
        <w:rPr>
          <w:rFonts w:hint="eastAsia"/>
          <w:color w:val="auto"/>
        </w:rPr>
        <w:t>建议申报和补充名单</w:t>
      </w:r>
      <w:bookmarkEnd w:id="114"/>
      <w:bookmarkEnd w:id="116"/>
    </w:p>
    <w:p>
      <w:pPr>
        <w:ind w:firstLine="480"/>
      </w:pPr>
      <w:r>
        <w:rPr>
          <w:rFonts w:hint="eastAsia"/>
        </w:rPr>
        <w:t>建议市级历史文化街区水磨场镇申报更高等级的历史文化街区。</w:t>
      </w:r>
    </w:p>
    <w:p>
      <w:pPr>
        <w:ind w:firstLine="480"/>
      </w:pPr>
      <w:r>
        <w:rPr>
          <w:rFonts w:hint="eastAsia"/>
        </w:rPr>
        <w:t>建议挖掘木门古镇传统老街的历史文化价值，在满足历史文化街区申报条件下，申报历史文化街区。</w:t>
      </w:r>
    </w:p>
    <w:p>
      <w:pPr>
        <w:pStyle w:val="78"/>
      </w:pPr>
      <w:bookmarkStart w:id="117" w:name="_Toc3889232"/>
      <w:bookmarkStart w:id="118" w:name="_Toc497180847"/>
      <w:r>
        <w:rPr>
          <w:rFonts w:hint="eastAsia"/>
        </w:rPr>
        <w:t>文物古迹的保护</w:t>
      </w:r>
      <w:bookmarkEnd w:id="117"/>
      <w:bookmarkEnd w:id="118"/>
    </w:p>
    <w:p>
      <w:pPr>
        <w:pStyle w:val="76"/>
        <w:ind w:left="704"/>
        <w:rPr>
          <w:color w:val="auto"/>
        </w:rPr>
      </w:pPr>
      <w:bookmarkStart w:id="119" w:name="_Toc3889233"/>
      <w:bookmarkStart w:id="120" w:name="_Toc497180848"/>
      <w:r>
        <w:rPr>
          <w:rFonts w:hint="eastAsia"/>
          <w:color w:val="auto"/>
        </w:rPr>
        <w:t>文物古迹保护原则</w:t>
      </w:r>
      <w:bookmarkEnd w:id="119"/>
    </w:p>
    <w:p>
      <w:pPr>
        <w:spacing w:line="360" w:lineRule="auto"/>
        <w:ind w:firstLine="480"/>
        <w:rPr>
          <w:rFonts w:ascii="宋体" w:hAnsi="宋体"/>
        </w:rPr>
      </w:pPr>
      <w:r>
        <w:rPr>
          <w:rFonts w:hint="eastAsia" w:ascii="宋体" w:hAnsi="宋体"/>
        </w:rPr>
        <w:t>1、贯彻“保护为主、抢救第一，合理利用，加强管理”的文物工作方针。</w:t>
      </w:r>
    </w:p>
    <w:p>
      <w:pPr>
        <w:spacing w:line="360" w:lineRule="auto"/>
        <w:ind w:firstLine="480"/>
        <w:rPr>
          <w:rFonts w:ascii="宋体" w:hAnsi="宋体"/>
        </w:rPr>
      </w:pPr>
      <w:r>
        <w:rPr>
          <w:rFonts w:hint="eastAsia" w:ascii="宋体" w:hAnsi="宋体"/>
        </w:rPr>
        <w:t>2、基本建设、旅游发展遵守文物保护工作的方针，其活动不得对文物造成损害。</w:t>
      </w:r>
    </w:p>
    <w:p>
      <w:pPr>
        <w:spacing w:line="360" w:lineRule="auto"/>
        <w:ind w:firstLine="480"/>
        <w:rPr>
          <w:rFonts w:ascii="宋体" w:hAnsi="宋体"/>
        </w:rPr>
      </w:pPr>
      <w:r>
        <w:rPr>
          <w:rFonts w:hint="eastAsia" w:ascii="宋体" w:hAnsi="宋体"/>
        </w:rPr>
        <w:t>3、对文物保护单位应当实施原址保护。</w:t>
      </w:r>
    </w:p>
    <w:p>
      <w:pPr>
        <w:spacing w:line="360" w:lineRule="auto"/>
        <w:ind w:firstLine="480"/>
        <w:rPr>
          <w:rFonts w:ascii="宋体" w:hAnsi="宋体"/>
        </w:rPr>
      </w:pPr>
      <w:r>
        <w:rPr>
          <w:rFonts w:hint="eastAsia" w:ascii="宋体" w:hAnsi="宋体"/>
        </w:rPr>
        <w:t>4、对不可移动文物进行修缮、保养、迁移，必须遵守不改变文物原状的原则。</w:t>
      </w:r>
    </w:p>
    <w:p>
      <w:pPr>
        <w:spacing w:line="360" w:lineRule="auto"/>
        <w:ind w:firstLine="480"/>
        <w:rPr>
          <w:rFonts w:ascii="宋体" w:hAnsi="宋体"/>
        </w:rPr>
      </w:pPr>
      <w:r>
        <w:rPr>
          <w:rFonts w:hint="eastAsia" w:ascii="宋体" w:hAnsi="宋体"/>
        </w:rPr>
        <w:t>5、保护文物古迹，不仅要保护文物古迹本身，还必须保护文物古迹周围的历史环境。</w:t>
      </w:r>
    </w:p>
    <w:p>
      <w:pPr>
        <w:ind w:firstLine="480"/>
      </w:pPr>
      <w:r>
        <w:rPr>
          <w:rFonts w:hint="eastAsia" w:ascii="宋体" w:hAnsi="宋体"/>
        </w:rPr>
        <w:t>6、保护优秀的历史建筑、近现代建筑和古树名木及传统建筑构件。</w:t>
      </w:r>
    </w:p>
    <w:p>
      <w:pPr>
        <w:pStyle w:val="76"/>
        <w:ind w:left="704"/>
        <w:rPr>
          <w:color w:val="auto"/>
        </w:rPr>
      </w:pPr>
      <w:r>
        <w:rPr>
          <w:rFonts w:hint="eastAsia"/>
          <w:color w:val="auto"/>
        </w:rPr>
        <w:t xml:space="preserve"> </w:t>
      </w:r>
      <w:bookmarkStart w:id="121" w:name="_Toc3889234"/>
      <w:r>
        <w:rPr>
          <w:rFonts w:hint="eastAsia"/>
          <w:color w:val="auto"/>
        </w:rPr>
        <w:t>文物保护单位</w:t>
      </w:r>
      <w:bookmarkEnd w:id="120"/>
      <w:r>
        <w:rPr>
          <w:rFonts w:hint="eastAsia"/>
          <w:color w:val="auto"/>
        </w:rPr>
        <w:t>及尚未核定公布为文保单位的不可移动文物</w:t>
      </w:r>
      <w:bookmarkEnd w:id="121"/>
    </w:p>
    <w:p>
      <w:pPr>
        <w:pStyle w:val="79"/>
        <w:numPr>
          <w:ilvl w:val="0"/>
          <w:numId w:val="38"/>
        </w:numPr>
        <w:ind w:firstLineChars="0"/>
      </w:pPr>
      <w:bookmarkStart w:id="122" w:name="_Toc497180849"/>
      <w:r>
        <w:rPr>
          <w:rFonts w:hint="eastAsia"/>
        </w:rPr>
        <w:t>保护内容</w:t>
      </w:r>
    </w:p>
    <w:p>
      <w:pPr>
        <w:ind w:firstLine="480"/>
      </w:pPr>
      <w:r>
        <w:rPr>
          <w:rFonts w:hint="eastAsia"/>
        </w:rPr>
        <w:t>依据文物保护规划，对文物保护单位、尚未核定公布为文物保护单位的登记不可移动文物提出必要的保护措施建议。</w:t>
      </w:r>
    </w:p>
    <w:p>
      <w:pPr>
        <w:ind w:firstLine="482"/>
        <w:rPr>
          <w:b/>
          <w:u w:val="single"/>
        </w:rPr>
      </w:pPr>
      <w:r>
        <w:rPr>
          <w:rFonts w:hint="eastAsia"/>
          <w:b/>
          <w:u w:val="single"/>
        </w:rPr>
        <w:t>保护旺苍县省级不可移动文物（含文物保护单位）16处，市级不可移动文物8处，县级不可移动文物37处，未定级不可移动文物29处。</w:t>
      </w:r>
      <w:r>
        <w:rPr>
          <w:rFonts w:hint="eastAsia"/>
        </w:rPr>
        <w:t>建议申报的3</w:t>
      </w:r>
      <w:r>
        <w:t>处历史建筑</w:t>
      </w:r>
      <w:r>
        <w:rPr>
          <w:rFonts w:hint="eastAsia"/>
        </w:rPr>
        <w:t>及若干传统风貌建筑。</w:t>
      </w:r>
    </w:p>
    <w:bookmarkEnd w:id="122"/>
    <w:p>
      <w:pPr>
        <w:pStyle w:val="79"/>
        <w:numPr>
          <w:ilvl w:val="0"/>
          <w:numId w:val="27"/>
        </w:numPr>
        <w:ind w:firstLineChars="0"/>
      </w:pPr>
      <w:bookmarkStart w:id="123" w:name="_Toc497180852"/>
      <w:r>
        <w:rPr>
          <w:rFonts w:hint="eastAsia"/>
        </w:rPr>
        <w:t>保护</w:t>
      </w:r>
      <w:bookmarkEnd w:id="123"/>
      <w:r>
        <w:rPr>
          <w:rFonts w:hint="eastAsia"/>
        </w:rPr>
        <w:t>界线及控制要求</w:t>
      </w:r>
    </w:p>
    <w:p>
      <w:pPr>
        <w:pStyle w:val="80"/>
        <w:numPr>
          <w:ilvl w:val="0"/>
          <w:numId w:val="39"/>
        </w:numPr>
        <w:ind w:right="0" w:rightChars="0"/>
        <w:outlineLvl w:val="3"/>
      </w:pPr>
      <w:r>
        <w:rPr>
          <w:rFonts w:hint="eastAsia"/>
        </w:rPr>
        <w:t>划定原则</w:t>
      </w:r>
    </w:p>
    <w:p>
      <w:pPr>
        <w:shd w:val="clear" w:color="auto" w:fill="FFFFFF"/>
        <w:spacing w:line="360" w:lineRule="auto"/>
        <w:ind w:firstLine="482"/>
        <w:textAlignment w:val="baseline"/>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根据《文物保护法》第十五条，各级文物保护单位，分别由省、自治区、直辖市人民政府和市、县级人民政府划定必要的保护范围</w:t>
      </w:r>
      <w:r>
        <w:rPr>
          <w:rFonts w:hint="eastAsia" w:ascii="宋体" w:hAnsi="宋体"/>
          <w:color w:val="000000" w:themeColor="text1"/>
          <w14:textFill>
            <w14:solidFill>
              <w14:schemeClr w14:val="tx1"/>
            </w14:solidFill>
          </w14:textFill>
        </w:rPr>
        <w:t>，作出标志说明，建立记录档案，并区别情况分别设置专门机构或者专人负责管理。全国重点文物保护单位的保护范围和记录档案，由省、自治区、直辖市人民政府文物行政部门报国务院文物行政部门备案。</w:t>
      </w:r>
      <w:r>
        <w:rPr>
          <w:rFonts w:hint="eastAsia" w:ascii="宋体" w:hAnsi="宋体"/>
          <w:b/>
          <w:color w:val="000000" w:themeColor="text1"/>
          <w14:textFill>
            <w14:solidFill>
              <w14:schemeClr w14:val="tx1"/>
            </w14:solidFill>
          </w14:textFill>
        </w:rPr>
        <w:t>县级以上地方人民政府文物行政部门应当根据不同文物的保护需要，制定文物保护单位和未核定为文物保护单位的不可移动文物的具体保护措施</w:t>
      </w:r>
      <w:r>
        <w:rPr>
          <w:rFonts w:hint="eastAsia" w:ascii="宋体" w:hAnsi="宋体"/>
          <w:color w:val="000000" w:themeColor="text1"/>
          <w14:textFill>
            <w14:solidFill>
              <w14:schemeClr w14:val="tx1"/>
            </w14:solidFill>
          </w14:textFill>
        </w:rPr>
        <w:t>，并公告施行。</w:t>
      </w:r>
    </w:p>
    <w:p>
      <w:pPr>
        <w:shd w:val="clear" w:color="auto" w:fill="FFFFFF"/>
        <w:spacing w:line="360" w:lineRule="auto"/>
        <w:ind w:firstLine="482"/>
        <w:textAlignment w:val="baseline"/>
        <w:rPr>
          <w:rFonts w:ascii="宋体" w:hAnsi="宋体"/>
          <w:b/>
          <w:bCs/>
          <w:u w:val="single"/>
        </w:rPr>
      </w:pPr>
      <w:r>
        <w:rPr>
          <w:rFonts w:hint="eastAsia" w:ascii="宋体" w:hAnsi="宋体"/>
          <w:b/>
          <w:bCs/>
          <w:u w:val="single"/>
        </w:rPr>
        <w:t>根据《四川省全国重点文物保护单位和省级文物保护单位保护范围》等文件，旺苍县已经对各级文物保护单位划定了保护范围和建设控制地带，因此，旺苍县各级文物保护单位的保护范围和建设控制地带以及地下文物埋藏区的界线，以县级以上地方人民政府公布的保护范围、建设控制地带为准。东河印制公司旧址保护区划同时应符合的《东河印制公司旧址保护规划（2018-2035）》等文物保护规划的要求。</w:t>
      </w:r>
    </w:p>
    <w:p>
      <w:pPr>
        <w:shd w:val="clear" w:color="auto" w:fill="FFFFFF"/>
        <w:spacing w:line="360" w:lineRule="auto"/>
        <w:ind w:firstLine="482"/>
        <w:textAlignment w:val="baseline"/>
        <w:rPr>
          <w:rFonts w:ascii="宋体" w:hAnsi="宋体"/>
          <w:b/>
          <w:bCs/>
          <w:u w:val="single"/>
        </w:rPr>
      </w:pPr>
      <w:r>
        <w:rPr>
          <w:rFonts w:hint="eastAsia" w:ascii="宋体" w:hAnsi="宋体"/>
          <w:b/>
          <w:u w:val="single"/>
        </w:rPr>
        <w:t>尚未核定公布为文物保护单位的登记不可移动文物，应参照文物保护单位的保护要求实施保护。</w:t>
      </w:r>
    </w:p>
    <w:p>
      <w:pPr>
        <w:pStyle w:val="80"/>
        <w:numPr>
          <w:ilvl w:val="0"/>
          <w:numId w:val="39"/>
        </w:numPr>
        <w:ind w:right="0" w:rightChars="0"/>
        <w:outlineLvl w:val="3"/>
      </w:pPr>
      <w:r>
        <w:rPr>
          <w:rFonts w:hint="eastAsia"/>
        </w:rPr>
        <w:t>保护控制要求</w:t>
      </w:r>
    </w:p>
    <w:p>
      <w:pPr>
        <w:spacing w:line="360" w:lineRule="auto"/>
        <w:ind w:firstLine="482"/>
        <w:rPr>
          <w:rFonts w:ascii="宋体" w:hAnsi="宋体"/>
        </w:rPr>
      </w:pPr>
      <w:r>
        <w:rPr>
          <w:rFonts w:hint="eastAsia" w:ascii="宋体" w:hAnsi="宋体"/>
          <w:b/>
          <w:u w:val="single"/>
        </w:rPr>
        <w:t>文物保护单位的保护范围和建设控制地带内的建设活动管理应严格遵照《中华人民共和国文物保护法》。已编制文物保护规划的应严格按照规划执行。</w:t>
      </w:r>
    </w:p>
    <w:p>
      <w:pPr>
        <w:spacing w:line="360" w:lineRule="auto"/>
        <w:ind w:firstLine="482"/>
        <w:rPr>
          <w:rFonts w:ascii="宋体" w:hAnsi="宋体"/>
          <w:b/>
          <w:u w:val="single"/>
        </w:rPr>
      </w:pPr>
      <w:r>
        <w:rPr>
          <w:rFonts w:hint="eastAsia" w:ascii="宋体" w:hAnsi="宋体"/>
          <w:b/>
          <w:u w:val="single"/>
        </w:rPr>
        <w:t>文物保护单位保护范围内不得进行其他建设工程或者爆破、钻探、挖掘等工作。</w:t>
      </w:r>
    </w:p>
    <w:p>
      <w:pPr>
        <w:spacing w:line="360" w:lineRule="auto"/>
        <w:ind w:firstLine="482"/>
        <w:rPr>
          <w:rFonts w:ascii="宋体" w:hAnsi="宋体"/>
          <w:b/>
          <w:u w:val="single"/>
        </w:rPr>
      </w:pPr>
      <w:r>
        <w:rPr>
          <w:rFonts w:hint="eastAsia" w:ascii="宋体" w:hAnsi="宋体"/>
          <w:b/>
          <w:u w:val="single"/>
        </w:rPr>
        <w:t>文物保护单位建设控制地带内进行建设工程，不得影响文物古迹的安全，不得破坏文物古迹的环境和历史风貌。</w:t>
      </w:r>
    </w:p>
    <w:p>
      <w:pPr>
        <w:ind w:firstLine="482"/>
        <w:rPr>
          <w:rFonts w:ascii="宋体" w:hAnsi="宋体"/>
          <w:b/>
          <w:u w:val="single"/>
        </w:rPr>
      </w:pPr>
      <w:r>
        <w:rPr>
          <w:rFonts w:hint="eastAsia" w:ascii="宋体" w:hAnsi="宋体"/>
          <w:b/>
          <w:u w:val="single"/>
        </w:rPr>
        <w:t>尚未核定公布为文物保护单位的登记不可移动文物，应参照文物保护单位的保护要求实施保护。</w:t>
      </w:r>
      <w:r>
        <w:rPr>
          <w:rFonts w:hint="eastAsia" w:ascii="宋体" w:hAnsi="宋体"/>
          <w:b/>
          <w:bCs/>
          <w:u w:val="single"/>
        </w:rPr>
        <w:t>不可移动文物依据《文物保护法》《城市紫线管理办法》（建规</w:t>
      </w:r>
      <w:r>
        <w:rPr>
          <w:rFonts w:ascii="宋体" w:hAnsi="宋体"/>
          <w:b/>
          <w:bCs/>
          <w:u w:val="single"/>
        </w:rPr>
        <w:t>[2003]119</w:t>
      </w:r>
      <w:r>
        <w:rPr>
          <w:rFonts w:hint="eastAsia" w:ascii="宋体" w:hAnsi="宋体"/>
          <w:b/>
          <w:bCs/>
          <w:u w:val="single"/>
        </w:rPr>
        <w:t>号）严格保护；对不可移动文物进行修缮、保养、迁移，必须遵守不改变文物原状的原则。建设工程选址，应当尽可能避开不可移动文物。</w:t>
      </w:r>
    </w:p>
    <w:p>
      <w:pPr>
        <w:pStyle w:val="79"/>
        <w:numPr>
          <w:ilvl w:val="0"/>
          <w:numId w:val="27"/>
        </w:numPr>
        <w:ind w:firstLineChars="0"/>
      </w:pPr>
      <w:bookmarkStart w:id="124" w:name="_Toc497180853"/>
      <w:r>
        <w:rPr>
          <w:rFonts w:hint="eastAsia"/>
        </w:rPr>
        <w:t>文物保护单位的保护与修缮措施</w:t>
      </w:r>
      <w:bookmarkEnd w:id="124"/>
    </w:p>
    <w:p>
      <w:pPr>
        <w:spacing w:line="360" w:lineRule="auto"/>
        <w:ind w:firstLine="482"/>
        <w:rPr>
          <w:rFonts w:ascii="宋体" w:hAnsi="宋体"/>
          <w:b/>
          <w:u w:val="single"/>
        </w:rPr>
      </w:pPr>
      <w:r>
        <w:rPr>
          <w:rFonts w:hint="eastAsia" w:ascii="宋体" w:hAnsi="宋体"/>
          <w:b/>
          <w:u w:val="single"/>
        </w:rPr>
        <w:t>文物保护单位的保护应按照《文物保护工程管理办法》(2003)等有关法律、法规执行，并接受《中国文物古迹保护准则》（2002）的技术指导。</w:t>
      </w:r>
    </w:p>
    <w:p>
      <w:pPr>
        <w:spacing w:line="360" w:lineRule="auto"/>
        <w:ind w:firstLine="482"/>
        <w:rPr>
          <w:rFonts w:ascii="宋体" w:hAnsi="宋体"/>
          <w:b/>
          <w:u w:val="single"/>
        </w:rPr>
      </w:pPr>
      <w:r>
        <w:rPr>
          <w:rFonts w:hint="eastAsia" w:ascii="宋体" w:hAnsi="宋体"/>
          <w:b/>
          <w:u w:val="single"/>
        </w:rPr>
        <w:t>按照批准的《东河印制公司旧址保护规划（2018-</w:t>
      </w:r>
      <w:r>
        <w:rPr>
          <w:rFonts w:ascii="宋体" w:hAnsi="宋体"/>
          <w:b/>
          <w:u w:val="single"/>
        </w:rPr>
        <w:t>2035</w:t>
      </w:r>
      <w:r>
        <w:rPr>
          <w:rFonts w:hint="eastAsia" w:ascii="宋体" w:hAnsi="宋体"/>
          <w:b/>
          <w:u w:val="single"/>
        </w:rPr>
        <w:t>）》等文物保护规划的要求落实保护措施。</w:t>
      </w:r>
    </w:p>
    <w:p>
      <w:pPr>
        <w:spacing w:line="360" w:lineRule="auto"/>
        <w:ind w:firstLine="480"/>
        <w:rPr>
          <w:rFonts w:ascii="宋体" w:hAnsi="宋体"/>
        </w:rPr>
      </w:pPr>
      <w:r>
        <w:rPr>
          <w:rFonts w:hint="eastAsia" w:ascii="宋体" w:hAnsi="宋体"/>
        </w:rPr>
        <w:t>对各级文物保护单位的保护，要单体建筑修缮与环境整治、改善相结合，文物古迹保护与周边历史街区成片保护相结合。</w:t>
      </w:r>
    </w:p>
    <w:p>
      <w:pPr>
        <w:spacing w:line="360" w:lineRule="auto"/>
        <w:ind w:firstLine="480"/>
        <w:rPr>
          <w:rFonts w:ascii="宋体" w:hAnsi="宋体"/>
        </w:rPr>
      </w:pPr>
      <w:r>
        <w:rPr>
          <w:rFonts w:hint="eastAsia" w:ascii="宋体" w:hAnsi="宋体"/>
        </w:rPr>
        <w:t>文物修缮过程中本着保证文物基本安全，保护文物真实性的思路，做好古建筑的测绘、记录工作，修缮工作宜做到保存原型制、原结构、原材料、原工艺四个保存，对体现文物价值的构配件应予以保留。</w:t>
      </w:r>
    </w:p>
    <w:p>
      <w:pPr>
        <w:spacing w:line="360" w:lineRule="auto"/>
        <w:ind w:firstLine="480"/>
        <w:rPr>
          <w:rFonts w:ascii="宋体" w:hAnsi="宋体"/>
        </w:rPr>
      </w:pPr>
      <w:r>
        <w:rPr>
          <w:rFonts w:hint="eastAsia" w:ascii="宋体" w:hAnsi="宋体"/>
        </w:rPr>
        <w:t>文物修缮中应保护历史的原状，做到对文物本体的最少干扰，并保证各项附加保护措施的可清除。</w:t>
      </w:r>
    </w:p>
    <w:p>
      <w:pPr>
        <w:spacing w:line="360" w:lineRule="auto"/>
        <w:ind w:firstLine="480"/>
        <w:rPr>
          <w:rFonts w:ascii="宋体" w:hAnsi="宋体"/>
        </w:rPr>
      </w:pPr>
      <w:r>
        <w:rPr>
          <w:rFonts w:hint="eastAsia" w:ascii="宋体" w:hAnsi="宋体"/>
        </w:rPr>
        <w:t>部分文保单位在作为宗教资源和旅游资源使用过程中，需要进一步进行积极地引导，防止游客对文物建筑随意刻画、涂污，避免对文物建筑的不良影响。</w:t>
      </w:r>
    </w:p>
    <w:p>
      <w:pPr>
        <w:spacing w:line="360" w:lineRule="auto"/>
        <w:ind w:firstLine="480"/>
        <w:rPr>
          <w:rFonts w:ascii="宋体" w:hAnsi="宋体"/>
        </w:rPr>
      </w:pPr>
      <w:r>
        <w:rPr>
          <w:rFonts w:hint="eastAsia" w:ascii="宋体" w:hAnsi="宋体"/>
        </w:rPr>
        <w:t>文保单位周边新建建筑要符合对文保单位、文物单位的保护控制要求，已经建设的与文物整体风貌不协调建筑限期拆除。</w:t>
      </w:r>
    </w:p>
    <w:p>
      <w:pPr>
        <w:widowControl/>
        <w:ind w:firstLine="480"/>
        <w:jc w:val="left"/>
        <w:rPr>
          <w:rFonts w:ascii="宋体" w:hAnsi="宋体" w:eastAsia="宋体" w:cs="宋体"/>
          <w:kern w:val="0"/>
        </w:rPr>
      </w:pPr>
      <w:r>
        <w:rPr>
          <w:rFonts w:hint="eastAsia" w:ascii="宋体" w:hAnsi="宋体" w:eastAsia="宋体" w:cs="宋体"/>
          <w:kern w:val="0"/>
        </w:rPr>
        <w:t>建设工程选址，应当尽可能避开不可移动文物；因特殊情况不能避开的，对文物保护单位应当尽可能实施原址保护。</w:t>
      </w:r>
    </w:p>
    <w:p>
      <w:pPr>
        <w:widowControl/>
        <w:ind w:firstLine="480"/>
        <w:jc w:val="left"/>
        <w:rPr>
          <w:rFonts w:ascii="宋体" w:hAnsi="宋体" w:eastAsia="宋体" w:cs="宋体"/>
          <w:kern w:val="0"/>
        </w:rPr>
      </w:pPr>
      <w:r>
        <w:rPr>
          <w:rFonts w:hint="eastAsia" w:ascii="宋体" w:hAnsi="宋体" w:eastAsia="宋体" w:cs="宋体"/>
          <w:kern w:val="0"/>
        </w:rPr>
        <w:t>实施原址保护的，建设单位应当事先确定保护措施，根据文物保护单位的级别报相应的文物行政部门批准，并将保护措施列入可行性研究报告或者设计任务书。收藏文物的单位应当按照国家有关规定配备防火、防盗、防自然损坏的设施，确保馆藏文物的安全。</w:t>
      </w:r>
    </w:p>
    <w:p>
      <w:pPr>
        <w:widowControl/>
        <w:ind w:firstLine="480"/>
        <w:jc w:val="left"/>
        <w:rPr>
          <w:rFonts w:ascii="宋体" w:hAnsi="宋体" w:eastAsia="宋体" w:cs="宋体"/>
          <w:kern w:val="0"/>
        </w:rPr>
      </w:pPr>
      <w:r>
        <w:rPr>
          <w:rFonts w:hint="eastAsia" w:ascii="宋体" w:hAnsi="宋体" w:eastAsia="宋体" w:cs="宋体"/>
          <w:kern w:val="0"/>
        </w:rPr>
        <w:t>无法实施原址保护，必须迁移异地保护或者拆除的，应当报省、自治区、直辖市人民政府批准；迁移或者拆除省级文物保护单位的，批准前须征得国务院文物行政部门同意。全国重点文物保护单位不得拆除；需要迁移的，须由省、自治区、直辖市人民政府报国务院批准。</w:t>
      </w:r>
    </w:p>
    <w:p>
      <w:pPr>
        <w:pStyle w:val="79"/>
        <w:numPr>
          <w:ilvl w:val="0"/>
          <w:numId w:val="27"/>
        </w:numPr>
        <w:ind w:firstLineChars="0"/>
      </w:pPr>
      <w:r>
        <w:rPr>
          <w:rFonts w:hint="eastAsia"/>
        </w:rPr>
        <w:t>建议申报名录</w:t>
      </w:r>
    </w:p>
    <w:p>
      <w:pPr>
        <w:ind w:firstLine="482"/>
      </w:pPr>
      <w:r>
        <w:rPr>
          <w:rFonts w:hint="eastAsia" w:ascii="宋体" w:hAnsi="宋体"/>
          <w:b/>
          <w:u w:val="single"/>
        </w:rPr>
        <w:t>建议29项文物古迹申报为文物保护单位。</w:t>
      </w:r>
      <w:r>
        <w:rPr>
          <w:rFonts w:hint="eastAsia"/>
        </w:rPr>
        <w:t>狮子寨、九龙杨家祠堂、慈云寺摩崖石刻、长生洞、木门郡遗址、清平洞石室、杜氏墓群、杜家墓群、何斐家族墓群、何崇扬家族墓群、盐井村李氏墓群、杜氏家族墓群、安家窑窑址、九龙寨战斗址、八庙革命烈士纪念碑、彭杨红四方面军军事政治干部学校旧址、嘉川府衙旧址、西河恐龙化石点、索家墓群、燕儿岩石室、天符观遗址、赵氏家族墓群、爱国堰、白岩大堰、紫云洞石室、冯仕举墓、红灯教鼓城村活动点。</w:t>
      </w:r>
    </w:p>
    <w:p>
      <w:pPr>
        <w:pStyle w:val="76"/>
        <w:ind w:left="704"/>
        <w:rPr>
          <w:color w:val="auto"/>
        </w:rPr>
      </w:pPr>
      <w:bookmarkStart w:id="125" w:name="_Toc3889235"/>
      <w:bookmarkStart w:id="126" w:name="_Toc497180859"/>
      <w:r>
        <w:rPr>
          <w:rFonts w:hint="eastAsia"/>
          <w:color w:val="auto"/>
        </w:rPr>
        <w:t>历史建筑</w:t>
      </w:r>
      <w:r>
        <w:rPr>
          <w:color w:val="auto"/>
        </w:rPr>
        <w:t>的保护</w:t>
      </w:r>
      <w:bookmarkEnd w:id="125"/>
    </w:p>
    <w:p>
      <w:pPr>
        <w:pStyle w:val="79"/>
        <w:numPr>
          <w:ilvl w:val="0"/>
          <w:numId w:val="40"/>
        </w:numPr>
        <w:ind w:firstLineChars="0"/>
      </w:pPr>
      <w:r>
        <w:rPr>
          <w:rFonts w:hint="eastAsia"/>
        </w:rPr>
        <w:t>历史建筑确定标准</w:t>
      </w:r>
    </w:p>
    <w:p>
      <w:pPr>
        <w:ind w:firstLine="480"/>
      </w:pPr>
      <w:r>
        <w:rPr>
          <w:rFonts w:hint="eastAsia"/>
        </w:rPr>
        <w:t>根据《住房城乡建设部办公厅关于进一步加强历史文化街区划定和历史建筑确定工作的通知》具备下列条件之一，未公布为文物保护单位，也未登记为不可移动文物的建筑物、构筑物等，经城市、县人民政府确定公布，可以确定为历史建筑：</w:t>
      </w:r>
    </w:p>
    <w:p>
      <w:pPr>
        <w:ind w:firstLine="480"/>
      </w:pPr>
      <w:r>
        <w:rPr>
          <w:rFonts w:hint="eastAsia"/>
        </w:rPr>
        <w:t>（一）具有突出的历史文化价值：</w:t>
      </w:r>
    </w:p>
    <w:p>
      <w:pPr>
        <w:ind w:firstLine="480"/>
      </w:pPr>
      <w:r>
        <w:rPr>
          <w:rFonts w:hint="eastAsia"/>
        </w:rPr>
        <w:t>与重要历史事件、历史名人相关联；在城市发展与建设史上具有代表性；在某一行业发展史上具有代表性；具有纪念、教育等历史文化意义。</w:t>
      </w:r>
    </w:p>
    <w:p>
      <w:pPr>
        <w:ind w:firstLine="480"/>
      </w:pPr>
      <w:r>
        <w:rPr>
          <w:rFonts w:hint="eastAsia"/>
        </w:rPr>
        <w:t>（二）具有较高的建筑艺术价值：</w:t>
      </w:r>
    </w:p>
    <w:p>
      <w:pPr>
        <w:ind w:firstLine="480"/>
      </w:pPr>
      <w:r>
        <w:rPr>
          <w:rFonts w:hint="eastAsia"/>
        </w:rPr>
        <w:t>反映一定时期的建筑设计风格，具有典型性；建筑样式与细部等具有一定的艺术特色和价值；反映所在地域或民族的建筑艺术特点；在城市或乡村一定地域内具有标志性或象征性，具有群体心理认同感；著名建筑师的代表作品。</w:t>
      </w:r>
    </w:p>
    <w:p>
      <w:pPr>
        <w:ind w:firstLine="480"/>
      </w:pPr>
      <w:r>
        <w:rPr>
          <w:rFonts w:hint="eastAsia"/>
        </w:rPr>
        <w:t>（三）体现一定的科学技术价值：</w:t>
      </w:r>
    </w:p>
    <w:p>
      <w:pPr>
        <w:ind w:firstLine="480"/>
      </w:pPr>
      <w:r>
        <w:rPr>
          <w:rFonts w:hint="eastAsia"/>
        </w:rPr>
        <w:t>建筑材料、结构、施工技术反映当时的建筑工程技术和科技水平；建筑形体组合或空间布局在一定时期具有先进性。</w:t>
      </w:r>
    </w:p>
    <w:p>
      <w:pPr>
        <w:ind w:firstLine="199" w:firstLineChars="83"/>
      </w:pPr>
      <w:r>
        <w:rPr>
          <w:rFonts w:hint="eastAsia"/>
        </w:rPr>
        <w:t>（四）具有其他价值特色的建筑。</w:t>
      </w:r>
    </w:p>
    <w:p>
      <w:pPr>
        <w:pStyle w:val="79"/>
        <w:numPr>
          <w:ilvl w:val="0"/>
          <w:numId w:val="40"/>
        </w:numPr>
        <w:ind w:firstLineChars="0"/>
      </w:pPr>
      <w:r>
        <w:rPr>
          <w:rFonts w:hint="eastAsia"/>
        </w:rPr>
        <w:t>建议</w:t>
      </w:r>
      <w:r>
        <w:t>申报名单</w:t>
      </w:r>
    </w:p>
    <w:p>
      <w:pPr>
        <w:ind w:left="704" w:firstLine="0" w:firstLineChars="0"/>
      </w:pPr>
      <w:r>
        <w:rPr>
          <w:rFonts w:hint="eastAsia"/>
        </w:rPr>
        <w:t>拟申报以下3</w:t>
      </w:r>
      <w:r>
        <w:t>处为历史建筑</w:t>
      </w:r>
      <w:r>
        <w:rPr>
          <w:rFonts w:hint="eastAsia"/>
        </w:rPr>
        <w:t>：</w:t>
      </w:r>
    </w:p>
    <w:p>
      <w:pPr>
        <w:ind w:left="704" w:firstLine="0" w:firstLineChars="0"/>
      </w:pPr>
      <w:r>
        <w:t>1</w:t>
      </w:r>
      <w:r>
        <w:rPr>
          <w:rFonts w:hint="eastAsia"/>
        </w:rPr>
        <w:t>、505厂发电车间、检验室、化验室、检修值班室、输煤栈桥；</w:t>
      </w:r>
    </w:p>
    <w:p>
      <w:pPr>
        <w:ind w:left="704" w:firstLine="0" w:firstLineChars="0"/>
      </w:pPr>
      <w:r>
        <w:t>2</w:t>
      </w:r>
      <w:r>
        <w:rPr>
          <w:rFonts w:hint="eastAsia"/>
        </w:rPr>
        <w:t>、502厂活动中心；</w:t>
      </w:r>
    </w:p>
    <w:p>
      <w:pPr>
        <w:ind w:left="704" w:firstLine="0" w:firstLineChars="0"/>
      </w:pPr>
      <w:r>
        <w:rPr>
          <w:rFonts w:hint="eastAsia"/>
        </w:rPr>
        <w:t>3、旺苍县天马丝绸厂。</w:t>
      </w:r>
    </w:p>
    <w:p>
      <w:pPr>
        <w:pStyle w:val="79"/>
        <w:numPr>
          <w:ilvl w:val="0"/>
          <w:numId w:val="27"/>
        </w:numPr>
        <w:ind w:firstLineChars="0"/>
      </w:pPr>
      <w:r>
        <w:t>保护</w:t>
      </w:r>
      <w:r>
        <w:rPr>
          <w:rFonts w:hint="eastAsia"/>
        </w:rPr>
        <w:t>范围</w:t>
      </w:r>
    </w:p>
    <w:p>
      <w:pPr>
        <w:ind w:firstLine="480"/>
      </w:pPr>
      <w:r>
        <w:rPr>
          <w:rFonts w:hint="eastAsia"/>
        </w:rPr>
        <w:t>根据《历史文化名城保护规划规范（2017）》，历史建筑保护范围界线的划定参照文物保护单位保护范围和建设控制地带的划定，保护范围包括历史建筑本体和必要的建设控制区域。建设控制地带不宜以本体范围简单外扩。</w:t>
      </w:r>
    </w:p>
    <w:p>
      <w:pPr>
        <w:ind w:firstLine="480"/>
      </w:pPr>
      <w:r>
        <w:rPr>
          <w:rFonts w:hint="eastAsia"/>
        </w:rPr>
        <w:t>本规划拟划定了</w:t>
      </w:r>
      <w:r>
        <w:rPr>
          <w:rFonts w:hint="eastAsia"/>
          <w:b/>
          <w:u w:val="single"/>
        </w:rPr>
        <w:t>建议历史建筑</w:t>
      </w:r>
      <w:r>
        <w:rPr>
          <w:rFonts w:hint="eastAsia"/>
        </w:rPr>
        <w:t>的保护范围，</w:t>
      </w:r>
      <w:r>
        <w:rPr>
          <w:rFonts w:hint="eastAsia"/>
          <w:b/>
          <w:u w:val="single"/>
        </w:rPr>
        <w:t>其</w:t>
      </w:r>
      <w:r>
        <w:rPr>
          <w:rFonts w:hint="eastAsia" w:ascii="宋体" w:hAnsi="宋体"/>
          <w:b/>
          <w:u w:val="single"/>
        </w:rPr>
        <w:t>保护</w:t>
      </w:r>
      <w:r>
        <w:rPr>
          <w:rFonts w:ascii="宋体" w:hAnsi="宋体"/>
          <w:b/>
          <w:u w:val="single"/>
        </w:rPr>
        <w:t>范围</w:t>
      </w:r>
      <w:r>
        <w:rPr>
          <w:rFonts w:hint="eastAsia" w:ascii="宋体" w:hAnsi="宋体"/>
          <w:b/>
          <w:u w:val="single"/>
        </w:rPr>
        <w:t>为历史建筑的建筑本体</w:t>
      </w:r>
      <w:r>
        <w:rPr>
          <w:rFonts w:hint="eastAsia" w:ascii="宋体" w:hAnsi="宋体"/>
          <w:b/>
        </w:rPr>
        <w:t>，</w:t>
      </w:r>
      <w:r>
        <w:rPr>
          <w:rFonts w:ascii="宋体" w:hAnsi="宋体"/>
        </w:rPr>
        <w:t>根据工业类型历史建筑</w:t>
      </w:r>
      <w:r>
        <w:rPr>
          <w:rFonts w:hint="eastAsia" w:ascii="宋体" w:hAnsi="宋体"/>
        </w:rPr>
        <w:t>特点，建设</w:t>
      </w:r>
      <w:r>
        <w:rPr>
          <w:rFonts w:ascii="宋体" w:hAnsi="宋体"/>
        </w:rPr>
        <w:t>控制区域</w:t>
      </w:r>
      <w:r>
        <w:rPr>
          <w:rFonts w:hint="eastAsia" w:ascii="宋体" w:hAnsi="宋体"/>
        </w:rPr>
        <w:t>为</w:t>
      </w:r>
      <w:r>
        <w:rPr>
          <w:rFonts w:ascii="宋体" w:hAnsi="宋体"/>
        </w:rPr>
        <w:t>本体</w:t>
      </w:r>
      <w:r>
        <w:rPr>
          <w:rFonts w:hint="eastAsia"/>
        </w:rPr>
        <w:t>结合周边地形地貌、道路条件、比邻建筑和院落边界线的条件，</w:t>
      </w:r>
      <w:r>
        <w:rPr>
          <w:rFonts w:ascii="宋体" w:hAnsi="宋体"/>
        </w:rPr>
        <w:t>外</w:t>
      </w:r>
      <w:r>
        <w:rPr>
          <w:rFonts w:hint="eastAsia" w:ascii="宋体" w:hAnsi="宋体"/>
        </w:rPr>
        <w:t>扩</w:t>
      </w:r>
      <w:r>
        <w:rPr>
          <w:rFonts w:ascii="宋体" w:hAnsi="宋体"/>
        </w:rPr>
        <w:t>3-10</w:t>
      </w:r>
      <w:r>
        <w:rPr>
          <w:rFonts w:hint="eastAsia" w:ascii="宋体" w:hAnsi="宋体"/>
        </w:rPr>
        <w:t>米范围。</w:t>
      </w:r>
    </w:p>
    <w:p>
      <w:pPr>
        <w:pStyle w:val="79"/>
        <w:numPr>
          <w:ilvl w:val="0"/>
          <w:numId w:val="27"/>
        </w:numPr>
        <w:ind w:firstLineChars="0"/>
      </w:pPr>
      <w:r>
        <w:rPr>
          <w:rFonts w:hint="eastAsia"/>
        </w:rPr>
        <w:t>保护要求</w:t>
      </w:r>
    </w:p>
    <w:p>
      <w:pPr>
        <w:ind w:firstLine="482"/>
      </w:pPr>
      <w:r>
        <w:rPr>
          <w:rFonts w:hint="eastAsia"/>
          <w:b/>
          <w:u w:val="single"/>
        </w:rPr>
        <w:t>（1）</w:t>
      </w:r>
      <w:r>
        <w:rPr>
          <w:rFonts w:hint="eastAsia" w:ascii="宋体" w:hAnsi="宋体"/>
          <w:b/>
          <w:u w:val="single"/>
        </w:rPr>
        <w:t>严格按照《历史文化名城名镇名村保护条例》和《城市紫线管理办法》中的相关要求保护历史建筑</w:t>
      </w:r>
      <w:r>
        <w:rPr>
          <w:rFonts w:hint="eastAsia" w:ascii="宋体" w:hAnsi="宋体"/>
          <w:u w:val="single"/>
        </w:rPr>
        <w:t>，</w:t>
      </w:r>
      <w:r>
        <w:rPr>
          <w:rFonts w:hint="eastAsia"/>
        </w:rPr>
        <w:t>城市、县人民政府应当对历史建筑设置保护标志，建立历史建筑档案。并将建议历史建筑公布为历史建筑，并对其设置保护标志以及建立历史建筑档案。</w:t>
      </w:r>
    </w:p>
    <w:p>
      <w:pPr>
        <w:ind w:firstLine="480"/>
        <w:rPr>
          <w:rFonts w:ascii="宋体" w:hAnsi="宋体"/>
          <w:b/>
          <w:u w:val="single"/>
        </w:rPr>
      </w:pPr>
      <w:r>
        <w:rPr>
          <w:rFonts w:hint="eastAsia" w:ascii="宋体" w:hAnsi="宋体"/>
        </w:rPr>
        <w:t>（2）</w:t>
      </w:r>
      <w:r>
        <w:rPr>
          <w:rFonts w:ascii="宋体" w:hAnsi="宋体"/>
        </w:rPr>
        <w:t>加快进行历史建筑保护规划编制工作</w:t>
      </w:r>
      <w:r>
        <w:rPr>
          <w:rFonts w:hint="eastAsia" w:ascii="宋体" w:hAnsi="宋体"/>
        </w:rPr>
        <w:t>，</w:t>
      </w:r>
      <w:r>
        <w:rPr>
          <w:rFonts w:hint="eastAsia" w:ascii="宋体" w:hAnsi="宋体"/>
          <w:b/>
          <w:u w:val="single"/>
        </w:rPr>
        <w:t>划定历史建筑保护范围。</w:t>
      </w:r>
    </w:p>
    <w:p>
      <w:pPr>
        <w:ind w:firstLine="480"/>
        <w:rPr>
          <w:rFonts w:ascii="宋体" w:hAnsi="宋体"/>
          <w:b/>
          <w:u w:val="single"/>
        </w:rPr>
      </w:pPr>
      <w:r>
        <w:rPr>
          <w:rFonts w:hint="eastAsia" w:ascii="宋体" w:hAnsi="宋体"/>
        </w:rPr>
        <w:t>（3）对历</w:t>
      </w:r>
      <w:r>
        <w:rPr>
          <w:rFonts w:hint="eastAsia"/>
        </w:rPr>
        <w:t>史建筑，以及符合历史建筑认定标准、尚未被列为历史建筑的建筑物、构筑物提出总体保护要求和保护整治措施。</w:t>
      </w:r>
      <w:r>
        <w:rPr>
          <w:b/>
          <w:u w:val="single"/>
        </w:rPr>
        <w:t>历史建筑的维修和整治必须保持原有高度、体量、外形、色彩和风貌。对历史建筑外部进行修缮设计，应按照不改变原状、真实性、完整性</w:t>
      </w:r>
      <w:r>
        <w:rPr>
          <w:rFonts w:ascii="宋体" w:hAnsi="宋体"/>
          <w:b/>
          <w:u w:val="single"/>
        </w:rPr>
        <w:t>、最低限度干预、考虑防灾减灾的原则进行。</w:t>
      </w:r>
      <w:r>
        <w:rPr>
          <w:rFonts w:hint="eastAsia" w:ascii="宋体" w:hAnsi="宋体"/>
        </w:rPr>
        <w:t>历史建筑内部可根据功能需要，在不影响内部保护要素的情况下进行改造与利用。</w:t>
      </w:r>
      <w:r>
        <w:rPr>
          <w:rFonts w:hint="eastAsia" w:ascii="宋体" w:hAnsi="宋体"/>
          <w:b/>
          <w:u w:val="single"/>
        </w:rPr>
        <w:t>建议历史建筑在公布批准前，应按照历史建筑标准进行保护。</w:t>
      </w:r>
    </w:p>
    <w:p>
      <w:pPr>
        <w:ind w:firstLine="482"/>
      </w:pPr>
      <w:r>
        <w:rPr>
          <w:rFonts w:hint="eastAsia" w:ascii="宋体" w:hAnsi="宋体"/>
          <w:b/>
          <w:u w:val="single"/>
        </w:rPr>
        <w:t>（</w:t>
      </w:r>
      <w:r>
        <w:rPr>
          <w:rFonts w:ascii="宋体" w:hAnsi="宋体"/>
          <w:b/>
          <w:u w:val="single"/>
        </w:rPr>
        <w:t>4</w:t>
      </w:r>
      <w:r>
        <w:rPr>
          <w:rFonts w:hint="eastAsia" w:ascii="宋体" w:hAnsi="宋体"/>
          <w:b/>
          <w:u w:val="single"/>
        </w:rPr>
        <w:t>）禁止在历史建筑上刻划、涂污；禁止堆放易燃、易爆和腐蚀性的物品；禁止拆卸、转让历史建筑的构件；保护范围内的各项建设不得影响历史建筑风貌的展示。禁止擅自对历史建筑进行外部修缮装饰、添加设施以及改变历史建筑的结构或者使用性质。</w:t>
      </w:r>
      <w:r>
        <w:rPr>
          <w:rFonts w:hint="eastAsia"/>
          <w:b/>
          <w:u w:val="single"/>
        </w:rPr>
        <w:t>对历史建筑进行外部修缮装饰、添加设施以及改变历史建筑的结构或者使用性质的，应当经人民政府城乡规划主管部门会同同级文物主管部门批准，并依照有关法律、法规的规定办理相关手续</w:t>
      </w:r>
      <w:r>
        <w:rPr>
          <w:rFonts w:hint="eastAsia"/>
        </w:rPr>
        <w:t>。</w:t>
      </w:r>
    </w:p>
    <w:p>
      <w:pPr>
        <w:ind w:firstLine="482"/>
      </w:pPr>
      <w:r>
        <w:rPr>
          <w:rFonts w:hint="eastAsia"/>
          <w:b/>
        </w:rPr>
        <w:t>（</w:t>
      </w:r>
      <w:r>
        <w:rPr>
          <w:b/>
        </w:rPr>
        <w:t>5</w:t>
      </w:r>
      <w:r>
        <w:rPr>
          <w:rFonts w:hint="eastAsia"/>
          <w:b/>
        </w:rPr>
        <w:t>）</w:t>
      </w:r>
      <w:r>
        <w:rPr>
          <w:rFonts w:hint="eastAsia"/>
          <w:b/>
          <w:u w:val="single"/>
        </w:rPr>
        <w:t>禁止擅自迁移、拆除历史建筑。建设工程选址，应当尽可能避开历史建筑；因特殊情况不能避开的，应当尽可能实施原址保护。</w:t>
      </w:r>
      <w:r>
        <w:rPr>
          <w:rFonts w:hint="eastAsia"/>
        </w:rPr>
        <w:t>对历史建筑实施原址保护的，建设单位应当事先确定保护措施，依法报相关部门批准。</w:t>
      </w:r>
      <w:r>
        <w:rPr>
          <w:rFonts w:hint="eastAsia"/>
          <w:b/>
          <w:u w:val="single"/>
        </w:rPr>
        <w:t>对历史建筑无法实施原址保护、需迁移保护的，依法报省人民政府确定的保护主管部门会同文物主管部门批准。</w:t>
      </w:r>
    </w:p>
    <w:p>
      <w:pPr>
        <w:tabs>
          <w:tab w:val="left" w:pos="993"/>
        </w:tabs>
        <w:spacing w:line="360" w:lineRule="auto"/>
        <w:ind w:firstLine="400" w:firstLineChars="166"/>
        <w:rPr>
          <w:rFonts w:ascii="宋体" w:hAnsi="宋体"/>
          <w:u w:val="single"/>
        </w:rPr>
      </w:pPr>
      <w:r>
        <w:rPr>
          <w:rFonts w:hint="eastAsia" w:ascii="宋体" w:hAnsi="宋体"/>
          <w:b/>
          <w:u w:val="single"/>
        </w:rPr>
        <w:t>（6）规划行政主管部门应对影响历史建筑及周边建筑风貌的建设活动给予严格监督、管理。</w:t>
      </w:r>
      <w:r>
        <w:rPr>
          <w:rFonts w:hint="eastAsia" w:ascii="宋体" w:hAnsi="宋体"/>
        </w:rPr>
        <w:t>历史建筑周边新建建筑高度、体量、色彩和风貌应当与历史建筑保持协调。</w:t>
      </w:r>
    </w:p>
    <w:p>
      <w:pPr>
        <w:ind w:firstLine="482"/>
        <w:rPr>
          <w:rFonts w:ascii="宋体" w:hAnsi="宋体"/>
          <w:b/>
          <w:u w:val="single"/>
        </w:rPr>
      </w:pPr>
      <w:r>
        <w:rPr>
          <w:rFonts w:hint="eastAsia" w:ascii="宋体" w:hAnsi="宋体"/>
          <w:b/>
          <w:u w:val="single"/>
        </w:rPr>
        <w:t>（</w:t>
      </w:r>
      <w:r>
        <w:rPr>
          <w:rFonts w:ascii="宋体" w:hAnsi="宋体"/>
          <w:b/>
          <w:u w:val="single"/>
        </w:rPr>
        <w:t>7</w:t>
      </w:r>
      <w:r>
        <w:rPr>
          <w:rFonts w:hint="eastAsia" w:ascii="宋体" w:hAnsi="宋体"/>
          <w:b/>
          <w:u w:val="single"/>
        </w:rPr>
        <w:t>）加快推进县域范围内的历史建筑普查，对于反映历史风貌和地方特色，未公布为文物保护单位，未登记为不可移动文物，但是具有一定保护价值的建筑由县人民政府负责组织申报，经法定审核、公布、备案程序后，纳入保护名录。</w:t>
      </w:r>
    </w:p>
    <w:p>
      <w:pPr>
        <w:ind w:firstLine="480"/>
      </w:pPr>
      <w:r>
        <w:rPr>
          <w:rFonts w:hint="eastAsia" w:ascii="宋体" w:hAnsi="宋体"/>
        </w:rPr>
        <w:t>（8）</w:t>
      </w:r>
      <w:r>
        <w:rPr>
          <w:rFonts w:ascii="宋体" w:hAnsi="宋体"/>
        </w:rPr>
        <w:t>历史建筑的所有权人，应当按照保护规划的要求，负责对历史建筑维护和修缮。历史建筑有损毁危险，所有权人不具备维护和修缮能力的，县人民政府应当采取措施进行保护。对损毁的、消失的历史建筑，有条件的应当逐步恢复。</w:t>
      </w:r>
      <w:r>
        <w:rPr>
          <w:rFonts w:hint="eastAsia" w:ascii="宋体" w:hAnsi="宋体"/>
        </w:rPr>
        <w:t>县</w:t>
      </w:r>
      <w:r>
        <w:rPr>
          <w:rFonts w:ascii="宋体" w:hAnsi="宋体"/>
        </w:rPr>
        <w:t>人民政府应当从保护资金中对历史建筑的维护和修缮给予补助。</w:t>
      </w:r>
    </w:p>
    <w:p>
      <w:pPr>
        <w:pStyle w:val="76"/>
        <w:ind w:left="704"/>
        <w:rPr>
          <w:color w:val="auto"/>
        </w:rPr>
      </w:pPr>
      <w:bookmarkStart w:id="127" w:name="_Toc3889236"/>
      <w:r>
        <w:rPr>
          <w:color w:val="auto"/>
        </w:rPr>
        <w:t>传统风貌建筑</w:t>
      </w:r>
      <w:bookmarkEnd w:id="126"/>
      <w:r>
        <w:rPr>
          <w:rFonts w:hint="eastAsia"/>
          <w:color w:val="auto"/>
        </w:rPr>
        <w:t>的保护</w:t>
      </w:r>
      <w:bookmarkEnd w:id="127"/>
    </w:p>
    <w:p>
      <w:pPr>
        <w:pStyle w:val="79"/>
        <w:numPr>
          <w:ilvl w:val="0"/>
          <w:numId w:val="41"/>
        </w:numPr>
        <w:ind w:firstLineChars="0"/>
      </w:pPr>
      <w:r>
        <w:rPr>
          <w:rFonts w:hint="eastAsia"/>
        </w:rPr>
        <w:t>保护要求</w:t>
      </w:r>
    </w:p>
    <w:p>
      <w:pPr>
        <w:ind w:firstLine="482"/>
        <w:rPr>
          <w:rFonts w:ascii="宋体" w:hAnsi="宋体"/>
          <w:bCs/>
        </w:rPr>
      </w:pPr>
      <w:r>
        <w:rPr>
          <w:rFonts w:hint="eastAsia" w:ascii="宋体" w:hAnsi="宋体"/>
          <w:b/>
          <w:bCs/>
          <w:u w:val="single"/>
        </w:rPr>
        <w:t>传统建筑的保护应确定保护对象和相应的保护措施，实行挂牌保护。</w:t>
      </w:r>
      <w:r>
        <w:rPr>
          <w:rFonts w:hint="eastAsia" w:ascii="宋体" w:hAnsi="宋体"/>
          <w:bCs/>
        </w:rPr>
        <w:t xml:space="preserve">应保持和修缮外观风貌特征，保护具有历史文化价值的细部构件或装饰物。在不改变外观风貌的前提下，维护、修缮、整治，改善内部设施，其内部允许进行改善和更新。 </w:t>
      </w:r>
    </w:p>
    <w:p>
      <w:pPr>
        <w:pStyle w:val="79"/>
        <w:numPr>
          <w:ilvl w:val="0"/>
          <w:numId w:val="27"/>
        </w:numPr>
        <w:ind w:firstLineChars="0"/>
      </w:pPr>
      <w:r>
        <w:rPr>
          <w:rFonts w:hint="eastAsia"/>
        </w:rPr>
        <w:t>建议申报历史建筑、不可移动文物</w:t>
      </w:r>
    </w:p>
    <w:p>
      <w:pPr>
        <w:ind w:firstLine="480"/>
        <w:rPr>
          <w:rFonts w:hAnsi="宋体"/>
        </w:rPr>
      </w:pPr>
      <w:r>
        <w:rPr>
          <w:rFonts w:hint="eastAsia"/>
        </w:rPr>
        <w:t>对</w:t>
      </w:r>
      <w:r>
        <w:rPr>
          <w:rFonts w:hint="eastAsia" w:hAnsi="宋体" w:eastAsia="宋体"/>
        </w:rPr>
        <w:t>能够反映历史风貌和地方特色</w:t>
      </w:r>
      <w:r>
        <w:rPr>
          <w:rFonts w:hint="eastAsia" w:hAnsi="宋体"/>
        </w:rPr>
        <w:t>的传统风貌建筑，建议申报为历史建筑。</w:t>
      </w:r>
    </w:p>
    <w:p>
      <w:pPr>
        <w:pStyle w:val="76"/>
        <w:ind w:left="704"/>
        <w:rPr>
          <w:color w:val="auto"/>
        </w:rPr>
      </w:pPr>
      <w:bookmarkStart w:id="128" w:name="_Toc3889237"/>
      <w:r>
        <w:rPr>
          <w:rFonts w:hint="eastAsia"/>
          <w:color w:val="auto"/>
        </w:rPr>
        <w:t>其他建筑的保护</w:t>
      </w:r>
      <w:bookmarkEnd w:id="128"/>
    </w:p>
    <w:p>
      <w:pPr>
        <w:ind w:firstLine="480"/>
        <w:rPr>
          <w:rFonts w:ascii="宋体" w:hAnsi="宋体"/>
          <w:bCs/>
        </w:rPr>
      </w:pPr>
      <w:r>
        <w:rPr>
          <w:rFonts w:hint="eastAsia" w:ascii="宋体" w:hAnsi="宋体"/>
          <w:bCs/>
        </w:rPr>
        <w:t>根据《历史文化名城名镇名村保护规划编制要求（试行）》，在具有传统风貌的街区、镇村，对文物保护单位、尚未核定公布为文物保护单位的登记不可移动文物、历史建筑之外的建筑物、构筑物，划分为传统风貌建筑、其他建筑。</w:t>
      </w:r>
    </w:p>
    <w:p>
      <w:pPr>
        <w:ind w:firstLine="482"/>
        <w:rPr>
          <w:b/>
          <w:u w:val="single"/>
        </w:rPr>
      </w:pPr>
      <w:r>
        <w:rPr>
          <w:rFonts w:hint="eastAsia" w:ascii="宋体" w:hAnsi="宋体"/>
          <w:b/>
          <w:bCs/>
          <w:u w:val="single"/>
        </w:rPr>
        <w:t>其他建（构）筑物根据对历史风貌的影响程度，分别提出保留、整治、改造等要求。</w:t>
      </w:r>
    </w:p>
    <w:p>
      <w:pPr>
        <w:ind w:firstLine="480"/>
        <w:rPr>
          <w:rFonts w:hAnsi="宋体"/>
        </w:rPr>
      </w:pPr>
      <w:r>
        <w:rPr>
          <w:rFonts w:hint="eastAsia" w:hAnsi="宋体"/>
        </w:rPr>
        <w:t>建议将红军城</w:t>
      </w:r>
      <w:r>
        <w:rPr>
          <w:rFonts w:hint="eastAsia"/>
        </w:rPr>
        <w:t>内2片</w:t>
      </w:r>
      <w:r>
        <w:rPr>
          <w:rFonts w:hint="eastAsia" w:hAnsi="宋体"/>
        </w:rPr>
        <w:t>历史文化街区内部、东河印钞厂旧址内与传统风貌协调的其他建筑予以保留。</w:t>
      </w:r>
    </w:p>
    <w:p>
      <w:pPr>
        <w:pStyle w:val="76"/>
        <w:ind w:left="704"/>
        <w:rPr>
          <w:color w:val="auto"/>
          <w:sz w:val="30"/>
        </w:rPr>
      </w:pPr>
      <w:bookmarkStart w:id="129" w:name="_Toc3889238"/>
      <w:r>
        <w:rPr>
          <w:rFonts w:hint="eastAsia"/>
          <w:color w:val="auto"/>
          <w:sz w:val="30"/>
        </w:rPr>
        <w:t>古树</w:t>
      </w:r>
      <w:r>
        <w:rPr>
          <w:color w:val="auto"/>
          <w:sz w:val="30"/>
        </w:rPr>
        <w:t>名木</w:t>
      </w:r>
      <w:r>
        <w:rPr>
          <w:rFonts w:hint="eastAsia"/>
          <w:color w:val="auto"/>
          <w:sz w:val="30"/>
        </w:rPr>
        <w:t>保护</w:t>
      </w:r>
      <w:bookmarkEnd w:id="129"/>
    </w:p>
    <w:p>
      <w:pPr>
        <w:ind w:firstLine="480"/>
      </w:pPr>
      <w:r>
        <w:rPr>
          <w:rFonts w:hint="eastAsia"/>
        </w:rPr>
        <w:t>旺苍县尚无挂牌登录的古树名木。</w:t>
      </w:r>
    </w:p>
    <w:p>
      <w:pPr>
        <w:tabs>
          <w:tab w:val="left" w:pos="993"/>
        </w:tabs>
        <w:spacing w:line="360" w:lineRule="auto"/>
        <w:ind w:firstLine="398" w:firstLineChars="166"/>
        <w:rPr>
          <w:rFonts w:ascii="宋体" w:hAnsi="宋体"/>
          <w:b/>
          <w:u w:val="single"/>
        </w:rPr>
      </w:pPr>
      <w:r>
        <w:rPr>
          <w:rFonts w:hint="eastAsia" w:ascii="宋体" w:hAnsi="宋体"/>
        </w:rPr>
        <w:t>建</w:t>
      </w:r>
      <w:r>
        <w:rPr>
          <w:rFonts w:ascii="宋体" w:hAnsi="宋体"/>
        </w:rPr>
        <w:t>立古树名木</w:t>
      </w:r>
      <w:r>
        <w:rPr>
          <w:rFonts w:hint="eastAsia" w:ascii="宋体" w:hAnsi="宋体"/>
        </w:rPr>
        <w:t>保护</w:t>
      </w:r>
      <w:r>
        <w:rPr>
          <w:rFonts w:ascii="宋体" w:hAnsi="宋体"/>
        </w:rPr>
        <w:t>预备库</w:t>
      </w:r>
      <w:r>
        <w:rPr>
          <w:rFonts w:hint="eastAsia" w:ascii="宋体" w:hAnsi="宋体"/>
        </w:rPr>
        <w:t>。</w:t>
      </w:r>
      <w:r>
        <w:rPr>
          <w:rFonts w:ascii="宋体" w:hAnsi="宋体"/>
          <w:b/>
          <w:u w:val="single"/>
        </w:rPr>
        <w:t>根据</w:t>
      </w:r>
      <w:r>
        <w:rPr>
          <w:rFonts w:hint="eastAsia" w:ascii="宋体" w:hAnsi="宋体"/>
          <w:b/>
          <w:u w:val="single"/>
        </w:rPr>
        <w:t>《四川省古树名木资源普查工作方案》、《四川省古树名木资源普查工作操作细则》进行全面登记、建档，列入未来古树名木名录，加强日常监测和管理。</w:t>
      </w:r>
    </w:p>
    <w:p>
      <w:pPr>
        <w:tabs>
          <w:tab w:val="left" w:pos="993"/>
        </w:tabs>
        <w:spacing w:line="360" w:lineRule="auto"/>
        <w:ind w:firstLine="398" w:firstLineChars="166"/>
        <w:rPr>
          <w:rFonts w:ascii="宋体" w:hAnsi="宋体"/>
        </w:rPr>
      </w:pPr>
      <w:r>
        <w:rPr>
          <w:rFonts w:hint="eastAsia" w:ascii="宋体" w:hAnsi="宋体"/>
        </w:rPr>
        <w:t>根据《</w:t>
      </w:r>
      <w:r>
        <w:rPr>
          <w:rFonts w:hint="eastAsia"/>
        </w:rPr>
        <w:t>城市古树名木保护管理办法</w:t>
      </w:r>
      <w:r>
        <w:rPr>
          <w:rFonts w:hint="eastAsia" w:ascii="宋体" w:hAnsi="宋体"/>
        </w:rPr>
        <w:t>》保护古树名木。建立多部门相结合共同</w:t>
      </w:r>
      <w:r>
        <w:rPr>
          <w:rFonts w:ascii="宋体" w:hAnsi="宋体"/>
        </w:rPr>
        <w:t>保护的制度</w:t>
      </w:r>
      <w:r>
        <w:rPr>
          <w:rFonts w:hint="eastAsia" w:ascii="宋体" w:hAnsi="宋体"/>
        </w:rPr>
        <w:t>。对</w:t>
      </w:r>
      <w:r>
        <w:rPr>
          <w:rFonts w:ascii="宋体" w:hAnsi="宋体"/>
        </w:rPr>
        <w:t>现有古树名木设立护理</w:t>
      </w:r>
      <w:r>
        <w:rPr>
          <w:rFonts w:hint="eastAsia" w:ascii="宋体" w:hAnsi="宋体"/>
        </w:rPr>
        <w:t>围栏</w:t>
      </w:r>
      <w:r>
        <w:rPr>
          <w:rFonts w:ascii="宋体" w:hAnsi="宋体"/>
        </w:rPr>
        <w:t>、护理</w:t>
      </w:r>
      <w:r>
        <w:rPr>
          <w:rFonts w:hint="eastAsia" w:ascii="宋体" w:hAnsi="宋体"/>
        </w:rPr>
        <w:t>花</w:t>
      </w:r>
      <w:r>
        <w:rPr>
          <w:rFonts w:ascii="宋体" w:hAnsi="宋体"/>
        </w:rPr>
        <w:t>坛、病虫</w:t>
      </w:r>
      <w:r>
        <w:rPr>
          <w:rFonts w:hint="eastAsia" w:ascii="宋体" w:hAnsi="宋体"/>
        </w:rPr>
        <w:t>害防治</w:t>
      </w:r>
      <w:r>
        <w:rPr>
          <w:rFonts w:ascii="宋体" w:hAnsi="宋体"/>
        </w:rPr>
        <w:t>、</w:t>
      </w:r>
      <w:r>
        <w:rPr>
          <w:rFonts w:hint="eastAsia" w:ascii="宋体" w:hAnsi="宋体"/>
        </w:rPr>
        <w:t>古</w:t>
      </w:r>
      <w:r>
        <w:rPr>
          <w:rFonts w:ascii="宋体" w:hAnsi="宋体"/>
        </w:rPr>
        <w:t>树支柱扶正</w:t>
      </w:r>
      <w:r>
        <w:rPr>
          <w:rFonts w:hint="eastAsia" w:ascii="宋体" w:hAnsi="宋体"/>
        </w:rPr>
        <w:t>措施</w:t>
      </w:r>
      <w:r>
        <w:rPr>
          <w:rFonts w:ascii="宋体" w:hAnsi="宋体"/>
        </w:rPr>
        <w:t>进行保护。同时</w:t>
      </w:r>
      <w:r>
        <w:rPr>
          <w:rFonts w:hint="eastAsia" w:ascii="宋体" w:hAnsi="宋体"/>
        </w:rPr>
        <w:t>古树名木保护管理工作实行专业养护部门保护管理和单位、个人保护管理相结合的混合管理模式来共同</w:t>
      </w:r>
      <w:r>
        <w:rPr>
          <w:rFonts w:ascii="宋体" w:hAnsi="宋体"/>
        </w:rPr>
        <w:t>保护。</w:t>
      </w:r>
    </w:p>
    <w:p>
      <w:pPr>
        <w:pStyle w:val="76"/>
        <w:ind w:left="704"/>
        <w:rPr>
          <w:color w:val="auto"/>
          <w:sz w:val="30"/>
        </w:rPr>
      </w:pPr>
      <w:bookmarkStart w:id="130" w:name="_Toc3889239"/>
      <w:r>
        <w:rPr>
          <w:rFonts w:hint="eastAsia"/>
          <w:color w:val="auto"/>
          <w:sz w:val="30"/>
        </w:rPr>
        <w:t>地下文物埋藏区保护</w:t>
      </w:r>
      <w:bookmarkEnd w:id="130"/>
    </w:p>
    <w:p>
      <w:pPr>
        <w:tabs>
          <w:tab w:val="left" w:pos="993"/>
        </w:tabs>
        <w:spacing w:line="360" w:lineRule="auto"/>
        <w:ind w:firstLine="400" w:firstLineChars="166"/>
        <w:rPr>
          <w:rFonts w:ascii="宋体" w:hAnsi="宋体"/>
        </w:rPr>
      </w:pPr>
      <w:r>
        <w:rPr>
          <w:rFonts w:hint="eastAsia" w:ascii="宋体" w:hAnsi="宋体"/>
          <w:b/>
          <w:u w:val="single"/>
        </w:rPr>
        <w:t>尽快划定地下文物保护区，按照《中华人民共和国文物保护法》进行保护</w:t>
      </w:r>
      <w:r>
        <w:rPr>
          <w:rFonts w:hint="eastAsia" w:ascii="宋体" w:hAnsi="宋体"/>
        </w:rPr>
        <w:t>。</w:t>
      </w:r>
    </w:p>
    <w:p>
      <w:pPr>
        <w:tabs>
          <w:tab w:val="left" w:pos="993"/>
        </w:tabs>
        <w:spacing w:line="360" w:lineRule="auto"/>
        <w:ind w:firstLine="400" w:firstLineChars="166"/>
        <w:rPr>
          <w:rFonts w:ascii="宋体" w:hAnsi="宋体"/>
          <w:highlight w:val="yellow"/>
        </w:rPr>
      </w:pPr>
      <w:r>
        <w:rPr>
          <w:rFonts w:hint="eastAsia"/>
          <w:b/>
          <w:u w:val="single"/>
        </w:rPr>
        <w:t>对各类会造成地下文物破坏的潜在人为破坏因素进行控制。</w:t>
      </w:r>
      <w:r>
        <w:rPr>
          <w:rFonts w:hint="eastAsia" w:hAnsi="宋体"/>
        </w:rPr>
        <w:t>地下文物埋藏区保护界线范围内的道路交通设施建设、市政管线建设、房屋建设以及农业活动等，不得危及地下文物的安全。</w:t>
      </w:r>
    </w:p>
    <w:p>
      <w:pPr>
        <w:tabs>
          <w:tab w:val="left" w:pos="993"/>
        </w:tabs>
        <w:spacing w:line="360" w:lineRule="auto"/>
        <w:ind w:firstLine="398" w:firstLineChars="166"/>
        <w:rPr>
          <w:rFonts w:hAnsi="宋体"/>
        </w:rPr>
      </w:pPr>
      <w:r>
        <w:rPr>
          <w:rFonts w:hint="eastAsia" w:hAnsi="宋体"/>
        </w:rPr>
        <w:t>城市其它地段进行建设时，如发现文物，建设单位应立即报告文物管理部门，并与文物管理部门配合进行抢救发掘。</w:t>
      </w:r>
    </w:p>
    <w:p>
      <w:pPr>
        <w:pStyle w:val="78"/>
      </w:pPr>
      <w:bookmarkStart w:id="131" w:name="_Toc497180861"/>
      <w:bookmarkStart w:id="132" w:name="_Toc3889240"/>
      <w:r>
        <w:rPr>
          <w:rFonts w:hint="eastAsia"/>
        </w:rPr>
        <w:t>非物质文化遗产以及优秀传统文化保护</w:t>
      </w:r>
      <w:bookmarkEnd w:id="131"/>
      <w:bookmarkEnd w:id="132"/>
    </w:p>
    <w:p>
      <w:pPr>
        <w:pStyle w:val="76"/>
        <w:ind w:left="704"/>
        <w:rPr>
          <w:color w:val="auto"/>
        </w:rPr>
      </w:pPr>
      <w:bookmarkStart w:id="133" w:name="_Toc3889241"/>
      <w:r>
        <w:rPr>
          <w:rFonts w:hint="eastAsia"/>
          <w:color w:val="auto"/>
        </w:rPr>
        <w:t>保护原则及内容</w:t>
      </w:r>
      <w:bookmarkEnd w:id="133"/>
    </w:p>
    <w:p>
      <w:pPr>
        <w:pStyle w:val="79"/>
        <w:numPr>
          <w:ilvl w:val="0"/>
          <w:numId w:val="42"/>
        </w:numPr>
        <w:ind w:firstLineChars="0"/>
      </w:pPr>
      <w:r>
        <w:rPr>
          <w:rFonts w:hint="eastAsia"/>
        </w:rPr>
        <w:t>保护原则</w:t>
      </w:r>
    </w:p>
    <w:p>
      <w:pPr>
        <w:spacing w:line="360" w:lineRule="auto"/>
        <w:ind w:firstLine="480"/>
        <w:rPr>
          <w:rFonts w:ascii="宋体" w:hAnsi="宋体"/>
        </w:rPr>
      </w:pPr>
      <w:r>
        <w:rPr>
          <w:rFonts w:hint="eastAsia" w:ascii="宋体" w:hAnsi="宋体"/>
        </w:rPr>
        <w:t>（1）真实性原则；</w:t>
      </w:r>
    </w:p>
    <w:p>
      <w:pPr>
        <w:spacing w:line="360" w:lineRule="auto"/>
        <w:ind w:firstLine="480"/>
        <w:rPr>
          <w:rFonts w:ascii="宋体" w:hAnsi="宋体"/>
        </w:rPr>
      </w:pPr>
      <w:r>
        <w:rPr>
          <w:rFonts w:hint="eastAsia" w:ascii="宋体" w:hAnsi="宋体"/>
        </w:rPr>
        <w:t>（2）可持续性原则；</w:t>
      </w:r>
    </w:p>
    <w:p>
      <w:pPr>
        <w:spacing w:line="360" w:lineRule="auto"/>
        <w:ind w:firstLine="480"/>
        <w:rPr>
          <w:rFonts w:ascii="宋体" w:hAnsi="宋体"/>
        </w:rPr>
      </w:pPr>
      <w:r>
        <w:rPr>
          <w:rFonts w:hint="eastAsia" w:ascii="宋体" w:hAnsi="宋体"/>
        </w:rPr>
        <w:t>（3）整体性保护原则。</w:t>
      </w:r>
    </w:p>
    <w:p>
      <w:pPr>
        <w:pStyle w:val="79"/>
        <w:numPr>
          <w:ilvl w:val="0"/>
          <w:numId w:val="27"/>
        </w:numPr>
        <w:ind w:firstLineChars="0"/>
      </w:pPr>
      <w:r>
        <w:rPr>
          <w:rFonts w:hint="eastAsia"/>
        </w:rPr>
        <w:t>保护内容</w:t>
      </w:r>
    </w:p>
    <w:p>
      <w:pPr>
        <w:ind w:firstLine="482"/>
        <w:rPr>
          <w:b/>
          <w:u w:val="single"/>
        </w:rPr>
      </w:pPr>
      <w:r>
        <w:rPr>
          <w:rFonts w:hint="eastAsia"/>
          <w:b/>
          <w:u w:val="single"/>
        </w:rPr>
        <w:t>按照《中华人民共和国非物质文化遗产法》保护旺苍县各级非物质文化遗产（含旺苍县</w:t>
      </w:r>
      <w:r>
        <w:rPr>
          <w:b/>
          <w:u w:val="single"/>
        </w:rPr>
        <w:t>第三批</w:t>
      </w:r>
      <w:r>
        <w:rPr>
          <w:rFonts w:hint="eastAsia"/>
          <w:b/>
          <w:u w:val="single"/>
        </w:rPr>
        <w:t>非物质文化遗产名录10项），以及未列入非物质文化遗产名录的各类优秀传统文化。</w:t>
      </w:r>
    </w:p>
    <w:p>
      <w:pPr>
        <w:ind w:firstLine="480"/>
      </w:pPr>
      <w:r>
        <w:rPr>
          <w:rFonts w:hint="eastAsia"/>
        </w:rPr>
        <w:t>（1）旺苍县第三批非物质文化遗产名录</w:t>
      </w:r>
    </w:p>
    <w:p>
      <w:pPr>
        <w:ind w:firstLine="480"/>
      </w:pPr>
      <w:r>
        <w:rPr>
          <w:rFonts w:hint="eastAsia"/>
        </w:rPr>
        <w:t>旺苍县第三批非物质文化遗产总计10项，包括：木门赖茄宝、米仓山制茶工艺、旺苍土酸菜、木门流马制作工艺、木牛流马制作工艺、文氏中草药制作工艺、正月十六登高活动、荞子酒制作工艺、撵旱魃、东河石艺。</w:t>
      </w:r>
    </w:p>
    <w:p>
      <w:pPr>
        <w:ind w:firstLine="480"/>
      </w:pPr>
      <w:r>
        <w:rPr>
          <w:rFonts w:hint="eastAsia"/>
        </w:rPr>
        <w:t>（2）其他旺苍县非物质文化遗产</w:t>
      </w:r>
    </w:p>
    <w:p>
      <w:pPr>
        <w:ind w:firstLine="480"/>
      </w:pPr>
      <w:r>
        <w:rPr>
          <w:rFonts w:hint="eastAsia"/>
        </w:rPr>
        <w:t>旺苍县非物质文化遗产普查名单包括以下内容：旺苍高台舞狮（市级）、木门薅秧歌（市级）、文氏中草药（市级）、川北狮舞、旺苍农村婚嫁习俗、木门醪糟（省级）、旺苍小调、支溪古酒（市级）、川北薅草锣鼓、木门竹编、旺苍方言、旺苍三弦、旺苍端公戏（省级）、木门乡香豆瓣、金钱板、旺苍刺绣、旺苍唢呐、鼓城根雕、旺苍农村祝寿礼仪、旺苍石雕、旺苍灯戏、旺苍棕编、红军歌谣。</w:t>
      </w:r>
    </w:p>
    <w:p>
      <w:pPr>
        <w:ind w:firstLine="482"/>
        <w:rPr>
          <w:b/>
          <w:u w:val="single"/>
        </w:rPr>
      </w:pPr>
    </w:p>
    <w:p>
      <w:pPr>
        <w:pStyle w:val="76"/>
        <w:ind w:left="704"/>
        <w:rPr>
          <w:color w:val="auto"/>
        </w:rPr>
      </w:pPr>
      <w:bookmarkStart w:id="134" w:name="_Toc497180864"/>
      <w:bookmarkStart w:id="135" w:name="_Toc3889242"/>
      <w:r>
        <w:rPr>
          <w:rFonts w:hint="eastAsia"/>
          <w:color w:val="auto"/>
        </w:rPr>
        <w:t>非物质文化遗产及优秀传统文化保护</w:t>
      </w:r>
      <w:bookmarkEnd w:id="134"/>
      <w:bookmarkEnd w:id="135"/>
    </w:p>
    <w:p>
      <w:pPr>
        <w:ind w:firstLine="480"/>
      </w:pPr>
      <w:r>
        <w:rPr>
          <w:rFonts w:hint="eastAsia"/>
        </w:rPr>
        <w:t>坚持“保护为主，合理利用，传承发展”基本方针。</w:t>
      </w:r>
    </w:p>
    <w:p>
      <w:pPr>
        <w:ind w:firstLine="482"/>
        <w:rPr>
          <w:rFonts w:ascii="宋体" w:hAnsi="宋体" w:cs="宋体"/>
          <w:kern w:val="0"/>
        </w:rPr>
      </w:pPr>
      <w:r>
        <w:rPr>
          <w:rFonts w:hint="eastAsia" w:ascii="宋体" w:hAnsi="宋体" w:cs="宋体"/>
          <w:b/>
          <w:kern w:val="0"/>
          <w:u w:val="single"/>
        </w:rPr>
        <w:t>按照《中华人民共和国非物质文化遗产法》保护旺苍</w:t>
      </w:r>
      <w:r>
        <w:rPr>
          <w:rFonts w:ascii="宋体" w:hAnsi="宋体" w:cs="宋体"/>
          <w:b/>
          <w:kern w:val="0"/>
          <w:u w:val="single"/>
        </w:rPr>
        <w:t>县</w:t>
      </w:r>
      <w:r>
        <w:rPr>
          <w:rFonts w:hint="eastAsia" w:ascii="宋体" w:hAnsi="宋体" w:cs="宋体"/>
          <w:b/>
          <w:kern w:val="0"/>
          <w:u w:val="single"/>
        </w:rPr>
        <w:t>城非物质</w:t>
      </w:r>
      <w:r>
        <w:rPr>
          <w:rFonts w:ascii="宋体" w:hAnsi="宋体" w:cs="宋体"/>
          <w:b/>
          <w:kern w:val="0"/>
          <w:u w:val="single"/>
        </w:rPr>
        <w:t>文化</w:t>
      </w:r>
      <w:r>
        <w:rPr>
          <w:rFonts w:hint="eastAsia" w:ascii="宋体" w:hAnsi="宋体" w:cs="宋体"/>
          <w:b/>
          <w:kern w:val="0"/>
          <w:u w:val="single"/>
        </w:rPr>
        <w:t>资源</w:t>
      </w:r>
      <w:r>
        <w:rPr>
          <w:rFonts w:ascii="宋体" w:hAnsi="宋体" w:cs="宋体"/>
          <w:kern w:val="0"/>
        </w:rPr>
        <w:t>，</w:t>
      </w:r>
      <w:r>
        <w:rPr>
          <w:rFonts w:hint="eastAsia" w:ascii="宋体" w:hAnsi="宋体" w:cs="宋体"/>
          <w:kern w:val="0"/>
        </w:rPr>
        <w:t>注重“真实性、整体性和传承性”，采取认定、记录、建档、空间维护</w:t>
      </w:r>
      <w:r>
        <w:rPr>
          <w:rFonts w:ascii="宋体" w:hAnsi="宋体" w:cs="宋体"/>
          <w:kern w:val="0"/>
        </w:rPr>
        <w:t>、</w:t>
      </w:r>
      <w:r>
        <w:rPr>
          <w:rFonts w:hint="eastAsia" w:ascii="宋体" w:hAnsi="宋体" w:cs="宋体"/>
          <w:kern w:val="0"/>
        </w:rPr>
        <w:t>传承、传播等措施予以保存和保护</w:t>
      </w:r>
      <w:r>
        <w:rPr>
          <w:rFonts w:ascii="宋体" w:hAnsi="宋体" w:cs="宋体"/>
          <w:kern w:val="0"/>
        </w:rPr>
        <w:t>。</w:t>
      </w:r>
    </w:p>
    <w:p>
      <w:pPr>
        <w:pStyle w:val="80"/>
        <w:numPr>
          <w:ilvl w:val="0"/>
          <w:numId w:val="43"/>
        </w:numPr>
        <w:ind w:right="0" w:rightChars="0"/>
        <w:outlineLvl w:val="3"/>
      </w:pPr>
      <w:bookmarkStart w:id="136" w:name="_Toc459035791"/>
      <w:r>
        <w:rPr>
          <w:rFonts w:hint="eastAsia"/>
        </w:rPr>
        <w:t>登记保护</w:t>
      </w:r>
      <w:bookmarkEnd w:id="136"/>
    </w:p>
    <w:p>
      <w:pPr>
        <w:ind w:firstLine="480"/>
      </w:pPr>
      <w:r>
        <w:rPr>
          <w:rFonts w:hint="eastAsia"/>
        </w:rPr>
        <w:t>将旺苍县非物质文化遗产的名称、承载空间、举办日期、代表的文化类型及简要描述整理登记，利用音像等多媒体手段对一些非物质文化遗产进行记录，建立云数据库对其进行保存，利用电视，广播，网络等媒体进行资源共享。</w:t>
      </w:r>
    </w:p>
    <w:p>
      <w:pPr>
        <w:ind w:firstLine="480"/>
      </w:pPr>
      <w:r>
        <w:rPr>
          <w:rFonts w:hint="eastAsia"/>
        </w:rPr>
        <w:t>授予这些保有者非物质文化遗产保有证书、称号，建立传承人保证制度。</w:t>
      </w:r>
    </w:p>
    <w:p>
      <w:pPr>
        <w:pStyle w:val="80"/>
        <w:numPr>
          <w:ilvl w:val="0"/>
          <w:numId w:val="43"/>
        </w:numPr>
        <w:ind w:right="0" w:rightChars="0"/>
        <w:outlineLvl w:val="3"/>
      </w:pPr>
      <w:bookmarkStart w:id="137" w:name="_Toc459035792"/>
      <w:r>
        <w:rPr>
          <w:rFonts w:hint="eastAsia"/>
        </w:rPr>
        <w:t>空间维护</w:t>
      </w:r>
      <w:bookmarkEnd w:id="137"/>
    </w:p>
    <w:p>
      <w:pPr>
        <w:ind w:firstLine="480"/>
      </w:pPr>
      <w:r>
        <w:rPr>
          <w:rFonts w:hint="eastAsia"/>
        </w:rPr>
        <w:t>对文化依托的生态自然环境、物质空间环境提出具体保护控制措施。</w:t>
      </w:r>
    </w:p>
    <w:p>
      <w:pPr>
        <w:pStyle w:val="80"/>
        <w:numPr>
          <w:ilvl w:val="0"/>
          <w:numId w:val="43"/>
        </w:numPr>
        <w:ind w:right="0" w:rightChars="0"/>
        <w:outlineLvl w:val="3"/>
      </w:pPr>
      <w:bookmarkStart w:id="138" w:name="_Toc459035793"/>
      <w:r>
        <w:rPr>
          <w:rFonts w:hint="eastAsia"/>
        </w:rPr>
        <w:t>活动策划</w:t>
      </w:r>
      <w:bookmarkEnd w:id="138"/>
    </w:p>
    <w:p>
      <w:pPr>
        <w:ind w:firstLine="480"/>
      </w:pPr>
      <w:r>
        <w:t>成立</w:t>
      </w:r>
      <w:r>
        <w:rPr>
          <w:rFonts w:hint="eastAsia"/>
        </w:rPr>
        <w:t>旺苍县非物质</w:t>
      </w:r>
      <w:r>
        <w:t>文化传承中心</w:t>
      </w:r>
      <w:r>
        <w:rPr>
          <w:rFonts w:hint="eastAsia"/>
        </w:rPr>
        <w:t>，成立民间协会等群众性组织，开发具有民族民间传统和地域特色的民间艺术和民俗表演项目，与旅游产业相结合。</w:t>
      </w:r>
    </w:p>
    <w:p>
      <w:pPr>
        <w:pStyle w:val="78"/>
      </w:pPr>
      <w:bookmarkStart w:id="139" w:name="_Toc497180865"/>
      <w:bookmarkStart w:id="140" w:name="_Toc3889243"/>
      <w:r>
        <w:rPr>
          <w:rFonts w:hint="eastAsia"/>
        </w:rPr>
        <w:t>历史文化遗产</w:t>
      </w:r>
      <w:r>
        <w:t>的</w:t>
      </w:r>
      <w:r>
        <w:rPr>
          <w:rFonts w:hint="eastAsia"/>
        </w:rPr>
        <w:t>展示与利用</w:t>
      </w:r>
      <w:bookmarkEnd w:id="139"/>
      <w:bookmarkEnd w:id="140"/>
    </w:p>
    <w:p>
      <w:pPr>
        <w:pStyle w:val="76"/>
        <w:ind w:left="704"/>
        <w:rPr>
          <w:color w:val="auto"/>
        </w:rPr>
      </w:pPr>
      <w:bookmarkStart w:id="141" w:name="_Toc497180867"/>
      <w:bookmarkStart w:id="142" w:name="_Toc3889244"/>
      <w:r>
        <w:rPr>
          <w:rFonts w:hint="eastAsia"/>
          <w:color w:val="auto"/>
        </w:rPr>
        <w:t>展示层次</w:t>
      </w:r>
      <w:bookmarkEnd w:id="141"/>
      <w:bookmarkEnd w:id="142"/>
    </w:p>
    <w:p>
      <w:pPr>
        <w:spacing w:line="360" w:lineRule="auto"/>
        <w:ind w:firstLine="480"/>
        <w:rPr>
          <w:rFonts w:ascii="宋体" w:hAnsi="宋体"/>
        </w:rPr>
      </w:pPr>
      <w:r>
        <w:rPr>
          <w:rFonts w:hint="eastAsia" w:ascii="宋体" w:hAnsi="宋体"/>
        </w:rPr>
        <w:t>展示的层次主要分为县域历史文化展示、中心城区历史文化展示和历史城区历史文化展示、历史文化街区历史文化展示四个层次。</w:t>
      </w:r>
    </w:p>
    <w:p>
      <w:pPr>
        <w:pStyle w:val="76"/>
        <w:ind w:left="704"/>
        <w:rPr>
          <w:color w:val="auto"/>
          <w:sz w:val="30"/>
        </w:rPr>
      </w:pPr>
      <w:bookmarkStart w:id="143" w:name="_Toc497180868"/>
      <w:bookmarkStart w:id="144" w:name="_Toc3889245"/>
      <w:r>
        <w:rPr>
          <w:rFonts w:hint="eastAsia"/>
          <w:color w:val="auto"/>
          <w:sz w:val="30"/>
        </w:rPr>
        <w:t>展示原则</w:t>
      </w:r>
      <w:bookmarkEnd w:id="143"/>
      <w:bookmarkEnd w:id="144"/>
    </w:p>
    <w:p>
      <w:pPr>
        <w:spacing w:line="360" w:lineRule="auto"/>
        <w:ind w:firstLine="480"/>
        <w:rPr>
          <w:rFonts w:ascii="宋体" w:hAnsi="宋体"/>
        </w:rPr>
      </w:pPr>
      <w:r>
        <w:rPr>
          <w:rFonts w:hint="eastAsia" w:ascii="宋体" w:hAnsi="宋体"/>
        </w:rPr>
        <w:t>（1）、以物质文化遗产和非物质文化遗产的保护为前提；</w:t>
      </w:r>
    </w:p>
    <w:p>
      <w:pPr>
        <w:spacing w:line="360" w:lineRule="auto"/>
        <w:ind w:firstLine="480"/>
        <w:rPr>
          <w:rFonts w:ascii="宋体" w:hAnsi="宋体"/>
        </w:rPr>
      </w:pPr>
      <w:r>
        <w:rPr>
          <w:rFonts w:hint="eastAsia" w:ascii="宋体" w:hAnsi="宋体"/>
        </w:rPr>
        <w:t>（2）、保护与利用的和谐统一、可持续发展；</w:t>
      </w:r>
    </w:p>
    <w:p>
      <w:pPr>
        <w:spacing w:line="360" w:lineRule="auto"/>
        <w:ind w:firstLine="480"/>
        <w:rPr>
          <w:rFonts w:ascii="宋体" w:hAnsi="宋体"/>
        </w:rPr>
      </w:pPr>
      <w:r>
        <w:rPr>
          <w:rFonts w:hint="eastAsia" w:ascii="宋体" w:hAnsi="宋体"/>
        </w:rPr>
        <w:t>（3）、物质文化遗产与非物质文化遗产展示利用的有机结合；</w:t>
      </w:r>
    </w:p>
    <w:p>
      <w:pPr>
        <w:spacing w:line="360" w:lineRule="auto"/>
        <w:ind w:firstLine="480"/>
        <w:rPr>
          <w:rFonts w:ascii="宋体" w:hAnsi="宋体"/>
        </w:rPr>
      </w:pPr>
      <w:r>
        <w:rPr>
          <w:rFonts w:hint="eastAsia" w:ascii="宋体" w:hAnsi="宋体"/>
        </w:rPr>
        <w:t>（4）、社会效益、经济效益、文化效益的统筹协调；</w:t>
      </w:r>
    </w:p>
    <w:p>
      <w:pPr>
        <w:spacing w:line="360" w:lineRule="auto"/>
        <w:ind w:firstLine="480"/>
        <w:rPr>
          <w:rFonts w:ascii="宋体" w:hAnsi="宋体"/>
        </w:rPr>
      </w:pPr>
      <w:r>
        <w:rPr>
          <w:rFonts w:hint="eastAsia" w:ascii="宋体" w:hAnsi="宋体"/>
        </w:rPr>
        <w:t>（5）、科学合理保护与适度展示利用的协同；</w:t>
      </w:r>
    </w:p>
    <w:p>
      <w:pPr>
        <w:spacing w:line="360" w:lineRule="auto"/>
        <w:ind w:firstLine="480"/>
        <w:rPr>
          <w:rFonts w:ascii="宋体" w:hAnsi="宋体"/>
        </w:rPr>
      </w:pPr>
      <w:r>
        <w:rPr>
          <w:rFonts w:hint="eastAsia" w:ascii="宋体" w:hAnsi="宋体"/>
        </w:rPr>
        <w:t>（6）、学术研究和科学普及相结合。</w:t>
      </w:r>
    </w:p>
    <w:p>
      <w:pPr>
        <w:pStyle w:val="76"/>
        <w:ind w:left="704"/>
        <w:rPr>
          <w:color w:val="auto"/>
        </w:rPr>
      </w:pPr>
      <w:bookmarkStart w:id="145" w:name="_Toc497180869"/>
      <w:bookmarkStart w:id="146" w:name="_Toc3889246"/>
      <w:r>
        <w:rPr>
          <w:rFonts w:hint="eastAsia"/>
          <w:color w:val="auto"/>
        </w:rPr>
        <w:t>县域历史文化展示与利用</w:t>
      </w:r>
      <w:bookmarkEnd w:id="145"/>
      <w:bookmarkEnd w:id="146"/>
    </w:p>
    <w:p>
      <w:pPr>
        <w:ind w:firstLine="480"/>
      </w:pPr>
      <w:r>
        <w:rPr>
          <w:rFonts w:hint="eastAsia"/>
        </w:rPr>
        <w:t>县域历史文化展示结构为：“三轴、两带、两核心”。</w:t>
      </w:r>
    </w:p>
    <w:p>
      <w:pPr>
        <w:ind w:firstLine="480"/>
      </w:pPr>
      <w:r>
        <w:rPr>
          <w:rFonts w:hint="eastAsia"/>
        </w:rPr>
        <w:t>三轴：为红城绿谷发展轴，分别为米仓山大峡谷风景区沿线发展轴、鹿亭溪——汉王山自然风景区沿线发展轴和沿广巴铁路的历史人文发展轴。</w:t>
      </w:r>
    </w:p>
    <w:p>
      <w:pPr>
        <w:ind w:firstLine="480"/>
      </w:pPr>
      <w:r>
        <w:rPr>
          <w:rFonts w:hint="eastAsia"/>
        </w:rPr>
        <w:t>两带：为以乡村特色产业为主的特色乡村旅游带和有着悠久历史的历史传统村落旅游带。</w:t>
      </w:r>
    </w:p>
    <w:p>
      <w:pPr>
        <w:ind w:firstLine="480"/>
      </w:pPr>
      <w:r>
        <w:rPr>
          <w:rFonts w:hint="eastAsia"/>
        </w:rPr>
        <w:t>两核心：为米仓山大峡谷风景区和以东河镇、木门镇为重点的红色精品旅游区域。</w:t>
      </w:r>
    </w:p>
    <w:p>
      <w:pPr>
        <w:pStyle w:val="76"/>
        <w:ind w:left="704"/>
        <w:rPr>
          <w:color w:val="auto"/>
        </w:rPr>
      </w:pPr>
      <w:bookmarkStart w:id="147" w:name="_Toc497180870"/>
      <w:bookmarkStart w:id="148" w:name="_Toc3889247"/>
      <w:r>
        <w:rPr>
          <w:rFonts w:hint="eastAsia"/>
          <w:color w:val="auto"/>
        </w:rPr>
        <w:t>历史城区历史文化的展示利用</w:t>
      </w:r>
      <w:bookmarkEnd w:id="147"/>
      <w:bookmarkEnd w:id="148"/>
    </w:p>
    <w:p>
      <w:pPr>
        <w:ind w:firstLine="480"/>
      </w:pPr>
      <w:r>
        <w:rPr>
          <w:rFonts w:hint="eastAsia" w:ascii="宋体" w:hAnsi="宋体"/>
        </w:rPr>
        <w:t>历史城区历史文化展示利用结构为</w:t>
      </w:r>
      <w:r>
        <w:rPr>
          <w:rFonts w:hint="eastAsia"/>
        </w:rPr>
        <w:t>：“一门户、水陆两线路、多节点”。</w:t>
      </w:r>
    </w:p>
    <w:p>
      <w:pPr>
        <w:ind w:firstLine="480"/>
      </w:pPr>
      <w:r>
        <w:rPr>
          <w:rFonts w:hint="eastAsia"/>
        </w:rPr>
        <w:t>一门户——位于东河河畔的码头，通往红军城何家巷，与文昌街和何家巷交叉节点形成对景，在视线上塑造红军城的景观节点和视线落脚点；</w:t>
      </w:r>
    </w:p>
    <w:p>
      <w:pPr>
        <w:ind w:firstLine="480"/>
      </w:pPr>
      <w:r>
        <w:rPr>
          <w:rFonts w:hint="eastAsia"/>
        </w:rPr>
        <w:t>水陆两线路——东河的水上生态展示线路、红军城内的主要街巷形成的陆地展示线路；</w:t>
      </w:r>
    </w:p>
    <w:p>
      <w:pPr>
        <w:ind w:firstLine="480"/>
      </w:pPr>
      <w:r>
        <w:rPr>
          <w:rFonts w:hint="eastAsia"/>
        </w:rPr>
        <w:t>多节点——红军城内主要传统街巷交汇点、红军城重要传统街巷通往城外的道路节点、文保单位等文化景观展示节点，</w:t>
      </w:r>
      <w:r>
        <w:t>共</w:t>
      </w:r>
      <w:r>
        <w:rPr>
          <w:rFonts w:hint="eastAsia"/>
        </w:rPr>
        <w:t>7处。</w:t>
      </w:r>
    </w:p>
    <w:p>
      <w:pPr>
        <w:pStyle w:val="76"/>
        <w:ind w:left="704"/>
        <w:rPr>
          <w:color w:val="auto"/>
        </w:rPr>
      </w:pPr>
      <w:bookmarkStart w:id="149" w:name="_Toc3889248"/>
      <w:r>
        <w:rPr>
          <w:rFonts w:hint="eastAsia"/>
          <w:color w:val="auto"/>
        </w:rPr>
        <w:t>历史文化街区历史文化的展示</w:t>
      </w:r>
      <w:bookmarkEnd w:id="149"/>
    </w:p>
    <w:p>
      <w:pPr>
        <w:pStyle w:val="79"/>
        <w:numPr>
          <w:ilvl w:val="0"/>
          <w:numId w:val="44"/>
        </w:numPr>
        <w:ind w:firstLineChars="0"/>
      </w:pPr>
      <w:r>
        <w:rPr>
          <w:rFonts w:hint="eastAsia"/>
        </w:rPr>
        <w:t>展示分区</w:t>
      </w:r>
    </w:p>
    <w:p>
      <w:pPr>
        <w:ind w:firstLine="480"/>
      </w:pPr>
      <w:r>
        <w:rPr>
          <w:rFonts w:hint="eastAsia"/>
        </w:rPr>
        <w:t>（1）</w:t>
      </w:r>
      <w:r>
        <w:t>水磨乡场镇</w:t>
      </w:r>
      <w:r>
        <w:rPr>
          <w:rFonts w:hint="eastAsia"/>
        </w:rPr>
        <w:t>，</w:t>
      </w:r>
      <w:r>
        <w:t>展示川北民俗生活及川北民居建筑格局</w:t>
      </w:r>
      <w:r>
        <w:rPr>
          <w:rFonts w:hint="eastAsia"/>
        </w:rPr>
        <w:t>；</w:t>
      </w:r>
    </w:p>
    <w:p>
      <w:pPr>
        <w:ind w:firstLine="480"/>
      </w:pPr>
      <w:r>
        <w:rPr>
          <w:rFonts w:hint="eastAsia"/>
        </w:rPr>
        <w:t>（2）文昌街和龙潭街组成的历史文化街区展示红军党、政、军主要机关遗迹；</w:t>
      </w:r>
    </w:p>
    <w:p>
      <w:pPr>
        <w:ind w:firstLine="480"/>
      </w:pPr>
      <w:r>
        <w:rPr>
          <w:rFonts w:hint="eastAsia"/>
        </w:rPr>
        <w:t>（3）王庙街历史文化街区展示川北民居历史遗迹。</w:t>
      </w:r>
    </w:p>
    <w:p>
      <w:pPr>
        <w:ind w:firstLine="480"/>
      </w:pPr>
      <w:r>
        <w:rPr>
          <w:rFonts w:hint="eastAsia"/>
        </w:rPr>
        <w:t>各历史文化街区分区展示红军文化以及川北市井民俗生活，细分为红军文化核心体验区、传统生活区、传统商业区、文化休闲区、休闲商业区。</w:t>
      </w:r>
    </w:p>
    <w:p>
      <w:pPr>
        <w:pStyle w:val="79"/>
        <w:numPr>
          <w:ilvl w:val="0"/>
          <w:numId w:val="42"/>
        </w:numPr>
        <w:ind w:firstLineChars="0"/>
      </w:pPr>
      <w:r>
        <w:rPr>
          <w:rFonts w:hint="eastAsia"/>
        </w:rPr>
        <w:t>展示节点</w:t>
      </w:r>
    </w:p>
    <w:p>
      <w:pPr>
        <w:ind w:firstLine="480"/>
      </w:pPr>
      <w:r>
        <w:rPr>
          <w:rFonts w:hint="eastAsia"/>
        </w:rPr>
        <w:t>红军城沿主要街巷交叉口设置6处文化景观展示节点。作为红军城的局部门户以及视线交汇节点。</w:t>
      </w:r>
    </w:p>
    <w:p>
      <w:pPr>
        <w:pStyle w:val="76"/>
        <w:ind w:left="704"/>
        <w:rPr>
          <w:color w:val="auto"/>
          <w:sz w:val="30"/>
        </w:rPr>
      </w:pPr>
      <w:bookmarkStart w:id="150" w:name="_Toc3889249"/>
      <w:r>
        <w:rPr>
          <w:rFonts w:hint="eastAsia"/>
          <w:color w:val="auto"/>
          <w:sz w:val="30"/>
        </w:rPr>
        <w:t>文物保护单位展示与利用</w:t>
      </w:r>
      <w:bookmarkEnd w:id="150"/>
    </w:p>
    <w:p>
      <w:pPr>
        <w:tabs>
          <w:tab w:val="left" w:pos="993"/>
        </w:tabs>
        <w:spacing w:line="360" w:lineRule="auto"/>
        <w:ind w:firstLine="480"/>
        <w:rPr>
          <w:rFonts w:ascii="宋体" w:hAnsi="宋体"/>
        </w:rPr>
      </w:pPr>
      <w:r>
        <w:rPr>
          <w:rFonts w:hint="eastAsia" w:ascii="宋体" w:hAnsi="宋体"/>
        </w:rPr>
        <w:t>在保证文物安全和不改变文物原状的前提下，严格遵守相关法律法规保护修缮及妥善管理各类文物古迹，利用省级文物保护单位——东河印制公司旧址建立博物馆，展示红军文化和三线文化，合理利用其它旧址建设纪念馆、陈列室等展示场所。</w:t>
      </w:r>
    </w:p>
    <w:p>
      <w:pPr>
        <w:pStyle w:val="76"/>
        <w:ind w:left="704"/>
        <w:rPr>
          <w:color w:val="auto"/>
          <w:sz w:val="30"/>
        </w:rPr>
      </w:pPr>
      <w:bookmarkStart w:id="151" w:name="_Toc3889250"/>
      <w:r>
        <w:rPr>
          <w:rFonts w:hint="eastAsia"/>
          <w:color w:val="auto"/>
          <w:sz w:val="30"/>
        </w:rPr>
        <w:t>非物质文化遗产展示与利用</w:t>
      </w:r>
      <w:bookmarkEnd w:id="151"/>
    </w:p>
    <w:p>
      <w:pPr>
        <w:ind w:firstLine="480"/>
      </w:pPr>
      <w:r>
        <w:rPr>
          <w:rFonts w:hint="eastAsia" w:ascii="宋体" w:hAnsi="宋体"/>
        </w:rPr>
        <w:t>成立旺苍县非物质文化传承中心，成立民间协会等群众性组织，开发具有民族民间传统和地域特色的民间艺术和民俗表演项目，与旅游产业相结合，展示旺苍县非物质文化遗产和优秀传统文化。</w:t>
      </w:r>
    </w:p>
    <w:p>
      <w:pPr>
        <w:pStyle w:val="78"/>
      </w:pPr>
      <w:bookmarkStart w:id="152" w:name="_Toc497180873"/>
      <w:bookmarkStart w:id="153" w:name="_Toc3889251"/>
      <w:r>
        <w:rPr>
          <w:rFonts w:hint="eastAsia"/>
        </w:rPr>
        <w:t>近期保护规划</w:t>
      </w:r>
      <w:bookmarkEnd w:id="152"/>
      <w:bookmarkEnd w:id="153"/>
    </w:p>
    <w:p>
      <w:pPr>
        <w:pStyle w:val="76"/>
        <w:ind w:left="704"/>
        <w:rPr>
          <w:color w:val="auto"/>
        </w:rPr>
      </w:pPr>
      <w:bookmarkStart w:id="154" w:name="_Toc497180874"/>
      <w:bookmarkStart w:id="155" w:name="_Toc3889252"/>
      <w:r>
        <w:rPr>
          <w:rFonts w:hint="eastAsia"/>
          <w:color w:val="auto"/>
        </w:rPr>
        <w:t>近期</w:t>
      </w:r>
      <w:r>
        <w:rPr>
          <w:color w:val="auto"/>
        </w:rPr>
        <w:t>规划期限</w:t>
      </w:r>
      <w:bookmarkEnd w:id="154"/>
      <w:bookmarkEnd w:id="155"/>
    </w:p>
    <w:p>
      <w:pPr>
        <w:ind w:firstLine="480"/>
      </w:pPr>
      <w:r>
        <w:rPr>
          <w:rFonts w:hint="eastAsia"/>
        </w:rPr>
        <w:t>与在编总体规划近期期限一致：2017-2020年。</w:t>
      </w:r>
    </w:p>
    <w:p>
      <w:pPr>
        <w:pStyle w:val="76"/>
        <w:ind w:left="704"/>
        <w:rPr>
          <w:color w:val="auto"/>
        </w:rPr>
      </w:pPr>
      <w:bookmarkStart w:id="156" w:name="_Toc497180875"/>
      <w:bookmarkStart w:id="157" w:name="_Toc3889253"/>
      <w:r>
        <w:rPr>
          <w:rFonts w:hint="eastAsia"/>
          <w:color w:val="auto"/>
        </w:rPr>
        <w:t>近期实施项目</w:t>
      </w:r>
      <w:bookmarkEnd w:id="156"/>
      <w:bookmarkEnd w:id="157"/>
    </w:p>
    <w:p>
      <w:pPr>
        <w:pStyle w:val="13"/>
        <w:keepNext/>
        <w:ind w:firstLine="400"/>
      </w:pPr>
      <w:r>
        <w:rPr>
          <w:rFonts w:hint="eastAsia"/>
        </w:rPr>
        <w:t xml:space="preserve">表格 </w:t>
      </w:r>
      <w:r>
        <w:fldChar w:fldCharType="begin"/>
      </w:r>
      <w:r>
        <w:instrText xml:space="preserve"> </w:instrText>
      </w:r>
      <w:r>
        <w:rPr>
          <w:rFonts w:hint="eastAsia"/>
        </w:rPr>
        <w:instrText xml:space="preserve">SEQ 表格 \* ARABIC</w:instrText>
      </w:r>
      <w:r>
        <w:instrText xml:space="preserve"> </w:instrText>
      </w:r>
      <w:r>
        <w:fldChar w:fldCharType="separate"/>
      </w:r>
      <w:r>
        <w:t>4</w:t>
      </w:r>
      <w:r>
        <w:fldChar w:fldCharType="end"/>
      </w:r>
      <w:r>
        <w:rPr>
          <w:rFonts w:hint="eastAsia" w:cs="微软雅黑" w:asciiTheme="minorEastAsia" w:hAnsiTheme="minorEastAsia"/>
          <w:kern w:val="0"/>
          <w:sz w:val="21"/>
          <w:szCs w:val="32"/>
        </w:rPr>
        <w:t>近期重点实施项目一览表（</w:t>
      </w:r>
      <w:r>
        <w:rPr>
          <w:rFonts w:cs="微软雅黑" w:asciiTheme="minorEastAsia" w:hAnsiTheme="minorEastAsia"/>
          <w:kern w:val="0"/>
          <w:sz w:val="21"/>
          <w:szCs w:val="32"/>
        </w:rPr>
        <w:t>2017</w:t>
      </w:r>
      <w:r>
        <w:rPr>
          <w:rFonts w:hint="eastAsia" w:cs="微软雅黑" w:asciiTheme="minorEastAsia" w:hAnsiTheme="minorEastAsia"/>
          <w:kern w:val="0"/>
          <w:sz w:val="21"/>
          <w:szCs w:val="32"/>
        </w:rPr>
        <w:t>——</w:t>
      </w:r>
      <w:r>
        <w:rPr>
          <w:rFonts w:cs="微软雅黑" w:asciiTheme="minorEastAsia" w:hAnsiTheme="minorEastAsia"/>
          <w:kern w:val="0"/>
          <w:sz w:val="21"/>
          <w:szCs w:val="32"/>
        </w:rPr>
        <w:t>2020</w:t>
      </w:r>
      <w:r>
        <w:rPr>
          <w:rFonts w:hint="eastAsia" w:cs="微软雅黑" w:asciiTheme="minorEastAsia" w:hAnsiTheme="minorEastAsia"/>
          <w:kern w:val="0"/>
          <w:sz w:val="21"/>
          <w:szCs w:val="32"/>
        </w:rPr>
        <w:t>年）</w:t>
      </w:r>
    </w:p>
    <w:tbl>
      <w:tblPr>
        <w:tblStyle w:val="36"/>
        <w:tblW w:w="0" w:type="auto"/>
        <w:tblInd w:w="0" w:type="dxa"/>
        <w:tblLayout w:type="autofit"/>
        <w:tblCellMar>
          <w:top w:w="0" w:type="dxa"/>
          <w:left w:w="30" w:type="dxa"/>
          <w:bottom w:w="0" w:type="dxa"/>
          <w:right w:w="30" w:type="dxa"/>
        </w:tblCellMar>
      </w:tblPr>
      <w:tblGrid>
        <w:gridCol w:w="2210"/>
        <w:gridCol w:w="376"/>
        <w:gridCol w:w="7368"/>
      </w:tblGrid>
      <w:tr>
        <w:tblPrEx>
          <w:tblCellMar>
            <w:top w:w="0" w:type="dxa"/>
            <w:left w:w="30" w:type="dxa"/>
            <w:bottom w:w="0" w:type="dxa"/>
            <w:right w:w="30" w:type="dxa"/>
          </w:tblCellMar>
        </w:tblPrEx>
        <w:trPr>
          <w:trHeight w:val="279" w:hRule="atLeast"/>
          <w:tblHeader/>
        </w:trPr>
        <w:tc>
          <w:tcPr>
            <w:tcW w:w="0" w:type="auto"/>
            <w:tcBorders>
              <w:top w:val="single" w:color="auto" w:sz="6" w:space="0"/>
              <w:left w:val="single" w:color="auto" w:sz="6" w:space="0"/>
              <w:bottom w:val="single" w:color="auto" w:sz="6" w:space="0"/>
              <w:right w:val="single" w:color="auto" w:sz="6" w:space="0"/>
            </w:tcBorders>
            <w:shd w:val="solid" w:color="969696" w:fill="FFFFFF"/>
            <w:vAlign w:val="center"/>
          </w:tcPr>
          <w:p>
            <w:pPr>
              <w:autoSpaceDE w:val="0"/>
              <w:autoSpaceDN w:val="0"/>
              <w:spacing w:line="240" w:lineRule="auto"/>
              <w:ind w:firstLine="0" w:firstLineChars="0"/>
              <w:jc w:val="center"/>
              <w:rPr>
                <w:rFonts w:cs="微软雅黑" w:asciiTheme="minorEastAsia" w:hAnsiTheme="minorEastAsia"/>
                <w:b/>
                <w:bCs/>
                <w:kern w:val="0"/>
                <w:sz w:val="22"/>
                <w:szCs w:val="22"/>
              </w:rPr>
            </w:pPr>
            <w:r>
              <w:rPr>
                <w:rFonts w:hint="eastAsia" w:cs="微软雅黑" w:asciiTheme="minorEastAsia" w:hAnsiTheme="minorEastAsia"/>
                <w:b/>
                <w:bCs/>
                <w:kern w:val="0"/>
                <w:sz w:val="22"/>
                <w:szCs w:val="22"/>
              </w:rPr>
              <w:t>项目分类</w:t>
            </w:r>
          </w:p>
        </w:tc>
        <w:tc>
          <w:tcPr>
            <w:tcW w:w="0" w:type="auto"/>
            <w:tcBorders>
              <w:top w:val="single" w:color="auto" w:sz="6" w:space="0"/>
              <w:left w:val="single" w:color="auto" w:sz="6" w:space="0"/>
              <w:bottom w:val="single" w:color="auto" w:sz="6" w:space="0"/>
              <w:right w:val="single" w:color="auto" w:sz="6" w:space="0"/>
            </w:tcBorders>
            <w:shd w:val="solid" w:color="969696" w:fill="FFFFFF"/>
            <w:vAlign w:val="center"/>
          </w:tcPr>
          <w:p>
            <w:pPr>
              <w:autoSpaceDE w:val="0"/>
              <w:autoSpaceDN w:val="0"/>
              <w:spacing w:line="240" w:lineRule="auto"/>
              <w:ind w:firstLine="0" w:firstLineChars="0"/>
              <w:jc w:val="center"/>
              <w:rPr>
                <w:rFonts w:cs="微软雅黑" w:asciiTheme="minorEastAsia" w:hAnsiTheme="minorEastAsia"/>
                <w:b/>
                <w:bCs/>
                <w:kern w:val="0"/>
                <w:sz w:val="22"/>
                <w:szCs w:val="22"/>
              </w:rPr>
            </w:pPr>
            <w:r>
              <w:rPr>
                <w:rFonts w:hint="eastAsia" w:cs="微软雅黑" w:asciiTheme="minorEastAsia" w:hAnsiTheme="minorEastAsia"/>
                <w:b/>
                <w:bCs/>
                <w:kern w:val="0"/>
                <w:sz w:val="22"/>
                <w:szCs w:val="22"/>
              </w:rPr>
              <w:t>序号</w:t>
            </w:r>
          </w:p>
        </w:tc>
        <w:tc>
          <w:tcPr>
            <w:tcW w:w="0" w:type="auto"/>
            <w:tcBorders>
              <w:top w:val="single" w:color="auto" w:sz="6" w:space="0"/>
              <w:left w:val="single" w:color="auto" w:sz="6" w:space="0"/>
              <w:bottom w:val="single" w:color="auto" w:sz="6" w:space="0"/>
              <w:right w:val="single" w:color="auto" w:sz="6" w:space="0"/>
            </w:tcBorders>
            <w:shd w:val="solid" w:color="969696" w:fill="FFFFFF"/>
            <w:vAlign w:val="center"/>
          </w:tcPr>
          <w:p>
            <w:pPr>
              <w:autoSpaceDE w:val="0"/>
              <w:autoSpaceDN w:val="0"/>
              <w:spacing w:line="240" w:lineRule="auto"/>
              <w:ind w:firstLine="0" w:firstLineChars="0"/>
              <w:jc w:val="center"/>
              <w:rPr>
                <w:rFonts w:cs="微软雅黑" w:asciiTheme="minorEastAsia" w:hAnsiTheme="minorEastAsia"/>
                <w:b/>
                <w:bCs/>
                <w:kern w:val="0"/>
                <w:sz w:val="22"/>
                <w:szCs w:val="22"/>
              </w:rPr>
            </w:pPr>
            <w:r>
              <w:rPr>
                <w:rFonts w:hint="eastAsia" w:cs="微软雅黑" w:asciiTheme="minorEastAsia" w:hAnsiTheme="minorEastAsia"/>
                <w:b/>
                <w:bCs/>
                <w:kern w:val="0"/>
                <w:sz w:val="22"/>
                <w:szCs w:val="22"/>
              </w:rPr>
              <w:t>近期实施项目安排</w:t>
            </w:r>
          </w:p>
        </w:tc>
      </w:tr>
      <w:tr>
        <w:tblPrEx>
          <w:tblCellMar>
            <w:top w:w="0" w:type="dxa"/>
            <w:left w:w="30" w:type="dxa"/>
            <w:bottom w:w="0" w:type="dxa"/>
            <w:right w:w="30" w:type="dxa"/>
          </w:tblCellMar>
        </w:tblPrEx>
        <w:trPr>
          <w:trHeight w:val="548" w:hRule="atLeast"/>
        </w:trPr>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一、遗产资</w:t>
            </w:r>
          </w:p>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源调查</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①</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全面调查旺苍县历史文化渊源和各类遗产资源状况，摸清“家底”，建立较完善的遗产档案。</w:t>
            </w:r>
          </w:p>
        </w:tc>
      </w:tr>
      <w:tr>
        <w:tblPrEx>
          <w:tblCellMar>
            <w:top w:w="0" w:type="dxa"/>
            <w:left w:w="30" w:type="dxa"/>
            <w:bottom w:w="0" w:type="dxa"/>
            <w:right w:w="30" w:type="dxa"/>
          </w:tblCellMar>
        </w:tblPrEx>
        <w:trPr>
          <w:trHeight w:val="387" w:hRule="atLeast"/>
        </w:trPr>
        <w:tc>
          <w:tcPr>
            <w:tcW w:w="0" w:type="auto"/>
            <w:tcBorders>
              <w:top w:val="single" w:color="auto" w:sz="6" w:space="0"/>
              <w:left w:val="single" w:color="auto" w:sz="6" w:space="0"/>
              <w:bottom w:val="nil"/>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二、传统风貌保护</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②</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主要历史文化景观风貌打造。</w:t>
            </w:r>
          </w:p>
        </w:tc>
      </w:tr>
      <w:tr>
        <w:tblPrEx>
          <w:tblCellMar>
            <w:top w:w="0" w:type="dxa"/>
            <w:left w:w="30" w:type="dxa"/>
            <w:bottom w:w="0" w:type="dxa"/>
            <w:right w:w="30" w:type="dxa"/>
          </w:tblCellMar>
        </w:tblPrEx>
        <w:trPr>
          <w:trHeight w:val="601" w:hRule="atLeast"/>
        </w:trPr>
        <w:tc>
          <w:tcPr>
            <w:tcW w:w="0" w:type="auto"/>
            <w:tcBorders>
              <w:top w:val="nil"/>
              <w:left w:val="single" w:color="auto" w:sz="6" w:space="0"/>
              <w:bottom w:val="nil"/>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③</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实施完成各文物保护单位、历史文化街区、工业遗存等保护范围的界定和标示，并建立档案。</w:t>
            </w:r>
          </w:p>
        </w:tc>
      </w:tr>
      <w:tr>
        <w:tblPrEx>
          <w:tblCellMar>
            <w:top w:w="0" w:type="dxa"/>
            <w:left w:w="30" w:type="dxa"/>
            <w:bottom w:w="0" w:type="dxa"/>
            <w:right w:w="30" w:type="dxa"/>
          </w:tblCellMar>
        </w:tblPrEx>
        <w:trPr>
          <w:trHeight w:val="364" w:hRule="atLeast"/>
        </w:trPr>
        <w:tc>
          <w:tcPr>
            <w:tcW w:w="0" w:type="auto"/>
            <w:tcBorders>
              <w:top w:val="nil"/>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④</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着重恢复历史街区环境要素。</w:t>
            </w:r>
          </w:p>
        </w:tc>
      </w:tr>
      <w:tr>
        <w:tblPrEx>
          <w:tblCellMar>
            <w:top w:w="0" w:type="dxa"/>
            <w:left w:w="30" w:type="dxa"/>
            <w:bottom w:w="0" w:type="dxa"/>
            <w:right w:w="30" w:type="dxa"/>
          </w:tblCellMar>
        </w:tblPrEx>
        <w:trPr>
          <w:trHeight w:val="919" w:hRule="atLeast"/>
        </w:trPr>
        <w:tc>
          <w:tcPr>
            <w:tcW w:w="0" w:type="auto"/>
            <w:tcBorders>
              <w:top w:val="single" w:color="auto" w:sz="6" w:space="0"/>
              <w:left w:val="single" w:color="auto" w:sz="6" w:space="0"/>
              <w:bottom w:val="nil"/>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三、历史城区环境整治</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⑤</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历史城区重新定义空间和界面，合理规划设计绿地广场、展示场馆、休闲场所等，与周边历史环境风貌相协调，使历史城区的城市发展既能传承文化又跟上城市更新。</w:t>
            </w:r>
          </w:p>
        </w:tc>
      </w:tr>
      <w:tr>
        <w:tblPrEx>
          <w:tblCellMar>
            <w:top w:w="0" w:type="dxa"/>
            <w:left w:w="30" w:type="dxa"/>
            <w:bottom w:w="0" w:type="dxa"/>
            <w:right w:w="30" w:type="dxa"/>
          </w:tblCellMar>
        </w:tblPrEx>
        <w:trPr>
          <w:trHeight w:val="615" w:hRule="atLeast"/>
        </w:trPr>
        <w:tc>
          <w:tcPr>
            <w:tcW w:w="0" w:type="auto"/>
            <w:tcBorders>
              <w:top w:val="nil"/>
              <w:left w:val="single" w:color="auto" w:sz="6" w:space="0"/>
              <w:bottom w:val="nil"/>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⑥</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整治历史城区道路、基础设施等，维修和整治历史街巷，实现和谐的历史城区环境。</w:t>
            </w:r>
          </w:p>
        </w:tc>
      </w:tr>
      <w:tr>
        <w:tblPrEx>
          <w:tblCellMar>
            <w:top w:w="0" w:type="dxa"/>
            <w:left w:w="30" w:type="dxa"/>
            <w:bottom w:w="0" w:type="dxa"/>
            <w:right w:w="30" w:type="dxa"/>
          </w:tblCellMar>
        </w:tblPrEx>
        <w:trPr>
          <w:trHeight w:val="308" w:hRule="atLeast"/>
        </w:trPr>
        <w:tc>
          <w:tcPr>
            <w:tcW w:w="0" w:type="auto"/>
            <w:tcBorders>
              <w:top w:val="nil"/>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⑦</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强化风貌保护，突显红军文化特色。</w:t>
            </w:r>
          </w:p>
        </w:tc>
      </w:tr>
      <w:tr>
        <w:tblPrEx>
          <w:tblCellMar>
            <w:top w:w="0" w:type="dxa"/>
            <w:left w:w="30" w:type="dxa"/>
            <w:bottom w:w="0" w:type="dxa"/>
            <w:right w:w="30" w:type="dxa"/>
          </w:tblCellMar>
        </w:tblPrEx>
        <w:trPr>
          <w:trHeight w:val="615" w:hRule="atLeast"/>
        </w:trPr>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四、工业遗存保护利用</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⑧</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合理利用工业遗存设施，近期完成相关创意产业建设，做到积极保护，合理利用，扩大社会服务利用率。</w:t>
            </w:r>
          </w:p>
        </w:tc>
      </w:tr>
      <w:tr>
        <w:tblPrEx>
          <w:tblCellMar>
            <w:top w:w="0" w:type="dxa"/>
            <w:left w:w="30" w:type="dxa"/>
            <w:bottom w:w="0" w:type="dxa"/>
            <w:right w:w="30" w:type="dxa"/>
          </w:tblCellMar>
        </w:tblPrEx>
        <w:trPr>
          <w:trHeight w:val="1230" w:hRule="atLeast"/>
        </w:trPr>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五、文物保护单位、历史街区修缮与地块整治</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⑨</w:t>
            </w:r>
          </w:p>
        </w:tc>
        <w:tc>
          <w:tcPr>
            <w:tcW w:w="0" w:type="auto"/>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积极抢救和规范文物、历史街区保护措施，同时加以合理展示利用，加强对周围环境和绿化管理，恢复历史风貌。</w:t>
            </w:r>
          </w:p>
        </w:tc>
      </w:tr>
      <w:tr>
        <w:tblPrEx>
          <w:tblCellMar>
            <w:top w:w="0" w:type="dxa"/>
            <w:left w:w="30" w:type="dxa"/>
            <w:bottom w:w="0" w:type="dxa"/>
            <w:right w:w="30" w:type="dxa"/>
          </w:tblCellMar>
        </w:tblPrEx>
        <w:trPr>
          <w:trHeight w:val="839" w:hRule="atLeast"/>
        </w:trPr>
        <w:tc>
          <w:tcPr>
            <w:tcW w:w="0" w:type="auto"/>
            <w:gridSpan w:val="3"/>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firstLine="0" w:firstLineChars="0"/>
              <w:jc w:val="center"/>
              <w:rPr>
                <w:rFonts w:cs="微软雅黑" w:asciiTheme="minorEastAsia" w:hAnsiTheme="minorEastAsia"/>
                <w:kern w:val="0"/>
                <w:sz w:val="22"/>
                <w:szCs w:val="22"/>
              </w:rPr>
            </w:pPr>
            <w:r>
              <w:rPr>
                <w:rFonts w:hint="eastAsia" w:cs="微软雅黑" w:asciiTheme="minorEastAsia" w:hAnsiTheme="minorEastAsia"/>
                <w:kern w:val="0"/>
                <w:sz w:val="22"/>
                <w:szCs w:val="22"/>
              </w:rPr>
              <w:t>六、整治和优化历史文化景点项目。严格保护历史文化、生态资源、风景名胜资源、特色乡村资源等，合理组织游览线路，基本形成完善的展示利用体系。</w:t>
            </w:r>
          </w:p>
        </w:tc>
      </w:tr>
    </w:tbl>
    <w:p>
      <w:pPr>
        <w:pStyle w:val="78"/>
      </w:pPr>
      <w:bookmarkStart w:id="158" w:name="_Toc3889254"/>
      <w:r>
        <w:rPr>
          <w:rFonts w:hint="eastAsia"/>
        </w:rPr>
        <w:t>实施建议</w:t>
      </w:r>
      <w:bookmarkEnd w:id="158"/>
    </w:p>
    <w:bookmarkEnd w:id="27"/>
    <w:p>
      <w:pPr>
        <w:ind w:firstLine="480"/>
      </w:pPr>
      <w:r>
        <w:rPr>
          <w:rFonts w:hint="eastAsia"/>
        </w:rPr>
        <w:t>1、强化立法建设</w:t>
      </w:r>
    </w:p>
    <w:p>
      <w:pPr>
        <w:ind w:firstLine="480"/>
        <w:rPr>
          <w:rFonts w:ascii="宋体" w:hAnsi="宋体"/>
        </w:rPr>
      </w:pPr>
      <w:r>
        <w:rPr>
          <w:rFonts w:hint="eastAsia" w:ascii="宋体" w:hAnsi="宋体"/>
        </w:rPr>
        <w:t>在国家、省、市关于历史文化保护相关法律法规的基础上，结合旺苍实际情况，进一步制定相关规章办法，落实对旺苍历史文化名城的保护。</w:t>
      </w:r>
    </w:p>
    <w:p>
      <w:pPr>
        <w:ind w:firstLine="480"/>
      </w:pPr>
      <w:r>
        <w:rPr>
          <w:rFonts w:hint="eastAsia"/>
        </w:rPr>
        <w:t>2、完善机构设置</w:t>
      </w:r>
    </w:p>
    <w:p>
      <w:pPr>
        <w:ind w:firstLine="480"/>
        <w:rPr>
          <w:rFonts w:ascii="宋体" w:hAnsi="宋体"/>
        </w:rPr>
      </w:pPr>
      <w:r>
        <w:rPr>
          <w:rFonts w:hint="eastAsia" w:ascii="宋体" w:hAnsi="宋体"/>
        </w:rPr>
        <w:t>由专家和文广、规划、城建、旅游等相关部门为主，成立历史文化名城保护委员会，以健全名城保护管理机构，明确机构编制与事权。</w:t>
      </w:r>
    </w:p>
    <w:p>
      <w:pPr>
        <w:ind w:firstLine="480"/>
      </w:pPr>
      <w:r>
        <w:rPr>
          <w:rFonts w:hint="eastAsia"/>
        </w:rPr>
        <w:t>3、重视宣传教育与公众参与</w:t>
      </w:r>
    </w:p>
    <w:p>
      <w:pPr>
        <w:ind w:firstLine="480"/>
        <w:rPr>
          <w:rFonts w:ascii="宋体" w:hAnsi="宋体"/>
        </w:rPr>
      </w:pPr>
      <w:r>
        <w:rPr>
          <w:rFonts w:hint="eastAsia" w:ascii="宋体" w:hAnsi="宋体"/>
        </w:rPr>
        <w:t>采取多种方式，广泛宣传保护规划，强化各级领导和群众的名城保护意识，鼓励全体居民积极参与名城保护事业。营造社会共同参与规划、齐心协力保护名城、自觉弘扬优秀历史文化的社会氛围，进一步扩大旺苍历史文化名城的知名度和影响力。</w:t>
      </w:r>
    </w:p>
    <w:p>
      <w:pPr>
        <w:ind w:firstLine="480"/>
      </w:pPr>
      <w:r>
        <w:rPr>
          <w:rFonts w:hint="eastAsia"/>
        </w:rPr>
        <w:t>4、加快相关规划编制</w:t>
      </w:r>
    </w:p>
    <w:p>
      <w:pPr>
        <w:ind w:firstLine="480"/>
        <w:rPr>
          <w:rFonts w:ascii="宋体" w:hAnsi="宋体"/>
        </w:rPr>
      </w:pPr>
      <w:r>
        <w:rPr>
          <w:rFonts w:hint="eastAsia" w:ascii="宋体" w:hAnsi="宋体"/>
        </w:rPr>
        <w:t>加快城市修补、生态修复等专项规划编制，优化城市品质。</w:t>
      </w:r>
    </w:p>
    <w:p>
      <w:pPr>
        <w:ind w:firstLine="480"/>
        <w:rPr>
          <w:rFonts w:ascii="宋体" w:hAnsi="宋体"/>
        </w:rPr>
      </w:pPr>
      <w:r>
        <w:rPr>
          <w:rFonts w:hint="eastAsia" w:ascii="宋体" w:hAnsi="宋体"/>
        </w:rPr>
        <w:t>加快名城保护下层次规划的编制，如历史城区控制性详细规划、历史城区市政专项规划、历史地段保护规划、重要文物保护单位保护规划以及历史文化名镇名城和传统村落保护规划、非物质文化遗产保护规划的编制。</w:t>
      </w:r>
    </w:p>
    <w:p>
      <w:pPr>
        <w:ind w:firstLine="480"/>
      </w:pPr>
      <w:r>
        <w:rPr>
          <w:rFonts w:hint="eastAsia"/>
        </w:rPr>
        <w:t>5、增加资金投入</w:t>
      </w:r>
    </w:p>
    <w:p>
      <w:pPr>
        <w:ind w:firstLine="480"/>
        <w:rPr>
          <w:rFonts w:ascii="宋体" w:hAnsi="宋体"/>
        </w:rPr>
      </w:pPr>
      <w:r>
        <w:rPr>
          <w:rFonts w:hint="eastAsia" w:ascii="宋体" w:hAnsi="宋体"/>
        </w:rPr>
        <w:t>设立历史文化名城保护、管理和建设的专项资金，并列入县财政预算，鼓励社会力量捐助或通过其他多种形式筹集保护资金，保证名城保护规划的顺利实施。</w:t>
      </w:r>
    </w:p>
    <w:p>
      <w:pPr>
        <w:ind w:firstLine="480"/>
      </w:pPr>
      <w:r>
        <w:rPr>
          <w:rFonts w:hint="eastAsia"/>
        </w:rPr>
        <w:t>6、加强人才培养</w:t>
      </w:r>
    </w:p>
    <w:p>
      <w:pPr>
        <w:ind w:firstLine="480"/>
        <w:rPr>
          <w:rFonts w:ascii="宋体" w:hAnsi="宋体"/>
        </w:rPr>
      </w:pPr>
      <w:r>
        <w:rPr>
          <w:rFonts w:hint="eastAsia" w:ascii="宋体" w:hAnsi="宋体"/>
        </w:rPr>
        <w:t>加强专业技术人才的培养与引进，保证名城保护管理和实施工作的人才储备。</w:t>
      </w:r>
    </w:p>
    <w:p>
      <w:pPr>
        <w:ind w:firstLine="480"/>
        <w:rPr>
          <w:rFonts w:ascii="宋体" w:hAnsi="宋体"/>
        </w:rPr>
      </w:pPr>
      <w:r>
        <w:rPr>
          <w:rFonts w:hint="eastAsia" w:ascii="宋体" w:hAnsi="宋体"/>
        </w:rPr>
        <w:t>通过社会化培训、师徒传承、人才引进、多元机构支持等多种方式，强化名城保护相关的民间艺人培养，推动旺苍历史文化传承。</w:t>
      </w:r>
    </w:p>
    <w:p>
      <w:pPr>
        <w:ind w:firstLine="480"/>
      </w:pPr>
      <w:r>
        <w:rPr>
          <w:rFonts w:hint="eastAsia"/>
        </w:rPr>
        <w:t>7、注重经验借鉴</w:t>
      </w:r>
    </w:p>
    <w:p>
      <w:pPr>
        <w:ind w:firstLine="480"/>
        <w:rPr>
          <w:rFonts w:ascii="宋体" w:hAnsi="宋体"/>
        </w:rPr>
      </w:pPr>
      <w:r>
        <w:rPr>
          <w:rFonts w:hint="eastAsia" w:ascii="宋体" w:hAnsi="宋体"/>
        </w:rPr>
        <w:t>学习先进城市、地区的经验和做法，积极探索名城保护的机制和实施等途径，优化名城保护和更新的手法。</w:t>
      </w:r>
    </w:p>
    <w:p>
      <w:pPr>
        <w:ind w:firstLine="480"/>
      </w:pPr>
      <w:r>
        <w:rPr>
          <w:rFonts w:hint="eastAsia"/>
        </w:rPr>
        <w:t>8、建立信息化系统</w:t>
      </w:r>
    </w:p>
    <w:p>
      <w:pPr>
        <w:ind w:firstLine="480"/>
        <w:rPr>
          <w:rFonts w:ascii="宋体" w:hAnsi="宋体"/>
        </w:rPr>
      </w:pPr>
      <w:r>
        <w:rPr>
          <w:rFonts w:hint="eastAsia" w:ascii="宋体" w:hAnsi="宋体"/>
        </w:rPr>
        <w:t>采用文字、录音、录像、测绘、数字化多媒体等技术手段，全面系统收集整理旺苍历史文化名城的各类档案资料，并逐步建立名城保护的信息化管理系统。</w:t>
      </w:r>
    </w:p>
    <w:p>
      <w:pPr>
        <w:pStyle w:val="78"/>
      </w:pPr>
      <w:bookmarkStart w:id="159" w:name="_Toc3889255"/>
      <w:r>
        <w:rPr>
          <w:rFonts w:hint="eastAsia"/>
        </w:rPr>
        <w:t>附则</w:t>
      </w:r>
      <w:bookmarkEnd w:id="159"/>
    </w:p>
    <w:p>
      <w:pPr>
        <w:ind w:firstLine="480"/>
      </w:pPr>
      <w:r>
        <w:rPr>
          <w:rFonts w:hint="eastAsia"/>
        </w:rPr>
        <w:t>在本保护规划范围内进行各项建设活动的一切单位和个人，均应按《中华人民共和国城乡规划法》、《中华人民共和国文物保护法》、《历史文化名城名镇名村保护条例》等有关法律法规要求，执行本规划。</w:t>
      </w:r>
    </w:p>
    <w:p>
      <w:pPr>
        <w:ind w:firstLine="480"/>
      </w:pPr>
      <w:r>
        <w:rPr>
          <w:rFonts w:hint="eastAsia"/>
        </w:rPr>
        <w:t>本规划未涉及的文化遗产保护内容，应遵循中华人民共和国、四川省及广元市的相关法律法规、规定要求执行。</w:t>
      </w:r>
    </w:p>
    <w:p>
      <w:pPr>
        <w:ind w:firstLine="480"/>
      </w:pPr>
      <w:r>
        <w:t>本规划经四川省人民政府审批，由</w:t>
      </w:r>
      <w:r>
        <w:rPr>
          <w:rFonts w:hint="eastAsia"/>
        </w:rPr>
        <w:t>旺苍县</w:t>
      </w:r>
      <w:r>
        <w:t>人民政府组织实施，</w:t>
      </w:r>
      <w:r>
        <w:rPr>
          <w:rFonts w:hint="eastAsia"/>
        </w:rPr>
        <w:t>旺苍县</w:t>
      </w:r>
      <w:r>
        <w:t>人民政府城</w:t>
      </w:r>
      <w:r>
        <w:rPr>
          <w:rFonts w:hint="eastAsia"/>
        </w:rPr>
        <w:t>乡</w:t>
      </w:r>
      <w:r>
        <w:t>规划行政主管部门依法按照本规划进行规划管理。</w:t>
      </w:r>
      <w:r>
        <w:rPr>
          <w:rFonts w:hint="eastAsia"/>
        </w:rPr>
        <w:t>本规划自批准公布之日起施行。</w:t>
      </w:r>
    </w:p>
    <w:p>
      <w:pPr>
        <w:pStyle w:val="78"/>
        <w:numPr>
          <w:ilvl w:val="0"/>
          <w:numId w:val="0"/>
        </w:numPr>
      </w:pPr>
      <w:bookmarkStart w:id="160" w:name="_Toc3889256"/>
      <w:r>
        <w:rPr>
          <w:rFonts w:hint="eastAsia"/>
        </w:rPr>
        <w:t>附 表</w:t>
      </w:r>
      <w:bookmarkEnd w:id="160"/>
    </w:p>
    <w:p>
      <w:pPr>
        <w:pStyle w:val="76"/>
        <w:numPr>
          <w:ilvl w:val="0"/>
          <w:numId w:val="0"/>
        </w:numPr>
        <w:rPr>
          <w:color w:val="auto"/>
        </w:rPr>
      </w:pPr>
      <w:bookmarkStart w:id="161" w:name="_Toc3889257"/>
      <w:r>
        <w:rPr>
          <w:rFonts w:hint="eastAsia"/>
          <w:color w:val="auto"/>
        </w:rPr>
        <w:t>县域部分</w:t>
      </w:r>
      <w:bookmarkEnd w:id="161"/>
    </w:p>
    <w:p>
      <w:pPr>
        <w:pStyle w:val="79"/>
        <w:numPr>
          <w:ilvl w:val="0"/>
          <w:numId w:val="0"/>
        </w:numPr>
      </w:pPr>
      <w:r>
        <w:rPr>
          <w:rFonts w:hint="eastAsia"/>
        </w:rPr>
        <w:t>附表一：旺苍县文物古迹一览表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544"/>
        <w:gridCol w:w="1276"/>
        <w:gridCol w:w="1417"/>
        <w:gridCol w:w="1560"/>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62" w:type="dxa"/>
            <w:shd w:val="clear" w:color="auto" w:fill="auto"/>
            <w:vAlign w:val="center"/>
          </w:tcPr>
          <w:p>
            <w:pPr>
              <w:widowControl/>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序号</w:t>
            </w:r>
          </w:p>
        </w:tc>
        <w:tc>
          <w:tcPr>
            <w:tcW w:w="3544" w:type="dxa"/>
            <w:shd w:val="clear" w:color="auto" w:fill="auto"/>
            <w:vAlign w:val="center"/>
          </w:tcPr>
          <w:p>
            <w:pPr>
              <w:widowControl/>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名    称</w:t>
            </w:r>
          </w:p>
        </w:tc>
        <w:tc>
          <w:tcPr>
            <w:tcW w:w="1276" w:type="dxa"/>
            <w:shd w:val="clear" w:color="auto" w:fill="auto"/>
            <w:vAlign w:val="center"/>
          </w:tcPr>
          <w:p>
            <w:pPr>
              <w:widowControl/>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年 代</w:t>
            </w:r>
          </w:p>
        </w:tc>
        <w:tc>
          <w:tcPr>
            <w:tcW w:w="1417" w:type="dxa"/>
            <w:shd w:val="clear" w:color="auto" w:fill="auto"/>
            <w:vAlign w:val="center"/>
          </w:tcPr>
          <w:p>
            <w:pPr>
              <w:widowControl/>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类  别</w:t>
            </w:r>
          </w:p>
        </w:tc>
        <w:tc>
          <w:tcPr>
            <w:tcW w:w="1560" w:type="dxa"/>
            <w:shd w:val="clear" w:color="auto" w:fill="auto"/>
            <w:vAlign w:val="center"/>
          </w:tcPr>
          <w:p>
            <w:pPr>
              <w:widowControl/>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保护级别</w:t>
            </w:r>
          </w:p>
        </w:tc>
        <w:tc>
          <w:tcPr>
            <w:tcW w:w="1525" w:type="dxa"/>
            <w:shd w:val="clear" w:color="auto" w:fill="auto"/>
            <w:vAlign w:val="center"/>
          </w:tcPr>
          <w:p>
            <w:pPr>
              <w:widowControl/>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木门军事会议会址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孝节牌坊西北军区政治部石刻标语</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旺苍红军城</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东河镇沿河村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南峰山西北军区政治部石刻标语</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佛子岩摩崖造像</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唐</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福庆石家大院</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1944年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福庆乡农经村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东河印制公司旧址（</w:t>
            </w:r>
            <w:r>
              <w:rPr>
                <w:rFonts w:ascii="宋体" w:hAnsi="宋体" w:eastAsia="宋体" w:cs="宋体"/>
                <w:kern w:val="0"/>
                <w:sz w:val="21"/>
                <w:szCs w:val="21"/>
              </w:rPr>
              <w:t>总部机关</w:t>
            </w:r>
            <w:r>
              <w:rPr>
                <w:rFonts w:hint="eastAsia" w:ascii="宋体" w:hAnsi="宋体" w:eastAsia="宋体" w:cs="宋体"/>
                <w:kern w:val="0"/>
                <w:sz w:val="21"/>
                <w:szCs w:val="21"/>
              </w:rPr>
              <w:t>）</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1964年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东河镇沿河村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化龙王家祠堂</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化龙乡亭子村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石川杜家祠堂</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化龙乡石川村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中嘴杜家祠堂</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化龙乡石川村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九龙杨氏宗祠</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西陵赵家院子</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万家乡西陵村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福庆贞节牌坊</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福庆乡牌坊村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郝家河墓群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张华镇八一村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五郎坡墓群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木门镇茶元村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柳溪袁氏墓</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省级文保</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柳溪乡荣华村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静乐寺遗址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白水镇河边村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何先泰墓</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万山乡檬溪村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福庆康氏墓地</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福庆乡牌坊村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王荣墓</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双汇镇斑竹村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杨安仁家族墓地</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龙凤乡杨家祠堂</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龙凤乡白虎村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盐店街字库塔</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小河村何家大院</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中华民国</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国华镇小河村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马金英烈士墓</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金溪镇中坝村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九龙寨战斗址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青龙寨战斗址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木门镇青龙村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桑林子红三十一军政治部石刻标语</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太阳村红军兵工厂旧址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黄洋镇太阳村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旺苍红四方面军造币厂旧址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黄洋镇太阳村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莲花庵</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普济镇大池村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西北军区政治部十大政纲石刻标语</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柳溪乡蟠龙村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辜家坝遗址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新石器时代</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张华镇宋水村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兴隆山摩崖造像</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嘉川镇何家坝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牟家墓群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尚武镇自来村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李氏宗祠</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木门镇飞凤村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晒经石摩崖造像</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唐</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佛爷石摩崖造像</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唐</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苍坡河石桥</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九龙乡苍山村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黄猫垭战斗指挥部旧址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九龙乡鸽子村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化龙观</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化龙乡化龙村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曾家祠堂</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化龙乡长乐村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曾家山墓群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化龙乡长乐村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龙江徐氏墓地</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普济镇龙江村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熊安珍家族墓群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普济镇洪江村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大云村杨家墓群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普济镇大云村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大云村红三十一军政治部驻地旧址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普济镇大云村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大池村侯氏墓群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普济镇大池村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白云寺遗址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普济镇九江村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八庙</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普济镇秀海村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吴秀峰墓地</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大德乡星火村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罗坤家族墓群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大德乡燎原村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牛角洞战斗址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盐河乡竹垭村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英安县苏维埃政府旧址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英萃镇雄鹰村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铁佛寺遗址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米仓山镇关口村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洞岩扁石室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嘉川镇灯塔村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观音岩摩崖造像</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雷家岩石室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东河镇东河村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旺苍桓侯庙</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普济镇黄岭村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李万安墓地</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麻英乡燕山村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王文学家族墓群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县级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化龙乡亭子村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木门郡遗址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南北朝</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天符观遗址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唐代</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东河镇天符村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安家窑窑址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元</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龙凤乡五营村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铁佛寺遗址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米仓山镇金竹村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红灯教鼓城村活动点</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米仓山镇鼓城村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索家墓群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尚武镇榆钱村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杜氏家族墓群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龙凤乡龙鞍村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杜家墓群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木门镇农科村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木门镇农科村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何崇杨家族墓群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木门镇双山村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何斐家族墓群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木门镇天星村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盐井村李氏墓群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木门镇盐井村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冯仕举墓</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水磨乡火花村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赵氏家族墓群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大两乡德山村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嘉川府衙旧址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嘉川镇石龙村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清平洞石室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狮子寨</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九龙乡先锋村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九龙杨家祠堂</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长生洞</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化龙乡化龙村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81</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紫云洞石室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英萃镇新建村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82</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燕儿岩石室</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东河镇东河村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83</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慈云寺摩崖石刻</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84</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八庙革命烈士纪念碑</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普济镇秀海村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85</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九龙寨战斗址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张华镇桂花村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86</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彭杨红四方面军军事政治干部学校旧址</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87</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白岩大堰</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1958年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国华镇古松村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88</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爱国堰</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1963年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大德乡爱国村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89</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ascii="Tahoma" w:hAnsi="Tahoma" w:cs="Tahoma"/>
                <w:kern w:val="0"/>
                <w:sz w:val="20"/>
                <w:szCs w:val="20"/>
              </w:rPr>
              <w:t>林溪烈士陵园</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1957年</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2"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90</w:t>
            </w:r>
          </w:p>
        </w:tc>
        <w:tc>
          <w:tcPr>
            <w:tcW w:w="3544"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西河恐龙化石点</w:t>
            </w:r>
          </w:p>
        </w:tc>
        <w:tc>
          <w:tcPr>
            <w:tcW w:w="1276"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旧石器时代</w:t>
            </w:r>
          </w:p>
        </w:tc>
        <w:tc>
          <w:tcPr>
            <w:tcW w:w="1417"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其他</w:t>
            </w:r>
          </w:p>
        </w:tc>
        <w:tc>
          <w:tcPr>
            <w:tcW w:w="1560" w:type="dxa"/>
            <w:shd w:val="clear" w:color="auto" w:fill="auto"/>
            <w:noWrap/>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25" w:type="dxa"/>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嘉川镇槐树村</w:t>
            </w:r>
          </w:p>
        </w:tc>
      </w:tr>
    </w:tbl>
    <w:p>
      <w:pPr>
        <w:ind w:firstLine="480"/>
      </w:pPr>
    </w:p>
    <w:p>
      <w:pPr>
        <w:pStyle w:val="79"/>
        <w:numPr>
          <w:ilvl w:val="0"/>
          <w:numId w:val="0"/>
        </w:numPr>
      </w:pPr>
      <w:r>
        <w:rPr>
          <w:rFonts w:hint="eastAsia"/>
        </w:rPr>
        <w:t>附表二：旺苍县历史文化名城、名镇、传统村落一览表</w:t>
      </w:r>
    </w:p>
    <w:tbl>
      <w:tblPr>
        <w:tblStyle w:val="37"/>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5"/>
        <w:gridCol w:w="549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65"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类别</w:t>
            </w:r>
          </w:p>
        </w:tc>
        <w:tc>
          <w:tcPr>
            <w:tcW w:w="549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内容</w:t>
            </w:r>
          </w:p>
        </w:tc>
        <w:tc>
          <w:tcPr>
            <w:tcW w:w="118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165"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省级历史文化名城</w:t>
            </w:r>
          </w:p>
        </w:tc>
        <w:tc>
          <w:tcPr>
            <w:tcW w:w="549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旺苍县城</w:t>
            </w:r>
          </w:p>
        </w:tc>
        <w:tc>
          <w:tcPr>
            <w:tcW w:w="118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165"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省级历史文化名镇</w:t>
            </w:r>
          </w:p>
        </w:tc>
        <w:tc>
          <w:tcPr>
            <w:tcW w:w="549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w:t>
            </w:r>
          </w:p>
        </w:tc>
        <w:tc>
          <w:tcPr>
            <w:tcW w:w="118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5"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国家传统村落</w:t>
            </w:r>
          </w:p>
        </w:tc>
        <w:tc>
          <w:tcPr>
            <w:tcW w:w="549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福庆乡农经村、东河镇东郊村、化龙乡石川村、化龙乡亭子村</w:t>
            </w:r>
          </w:p>
        </w:tc>
        <w:tc>
          <w:tcPr>
            <w:tcW w:w="118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165"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省级传统村落</w:t>
            </w:r>
          </w:p>
        </w:tc>
        <w:tc>
          <w:tcPr>
            <w:tcW w:w="549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正源乡辕门村、高阳镇双午村、水磨乡桥板村、水磨乡群花村、万山乡蒙溪村、大两乡德山村、大两乡永星村、木门镇木门场、木门镇青龙村、化龙乡油树村、万家乡西陵村</w:t>
            </w:r>
          </w:p>
        </w:tc>
        <w:tc>
          <w:tcPr>
            <w:tcW w:w="118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165"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市级传统村落</w:t>
            </w:r>
          </w:p>
        </w:tc>
        <w:tc>
          <w:tcPr>
            <w:tcW w:w="549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水磨乡火花村、木门镇天星村</w:t>
            </w:r>
          </w:p>
        </w:tc>
        <w:tc>
          <w:tcPr>
            <w:tcW w:w="118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165"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市级历史文化街区</w:t>
            </w:r>
          </w:p>
        </w:tc>
        <w:tc>
          <w:tcPr>
            <w:tcW w:w="549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水磨乡场镇</w:t>
            </w:r>
          </w:p>
        </w:tc>
        <w:tc>
          <w:tcPr>
            <w:tcW w:w="1181" w:type="dxa"/>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r>
    </w:tbl>
    <w:p>
      <w:pPr>
        <w:pStyle w:val="76"/>
        <w:numPr>
          <w:ilvl w:val="0"/>
          <w:numId w:val="0"/>
        </w:numPr>
        <w:rPr>
          <w:color w:val="auto"/>
        </w:rPr>
      </w:pPr>
      <w:bookmarkStart w:id="162" w:name="_Toc3889258"/>
      <w:r>
        <w:rPr>
          <w:rFonts w:hint="eastAsia"/>
          <w:color w:val="auto"/>
        </w:rPr>
        <w:t>城区部分</w:t>
      </w:r>
      <w:bookmarkEnd w:id="162"/>
    </w:p>
    <w:p>
      <w:pPr>
        <w:pStyle w:val="79"/>
        <w:numPr>
          <w:ilvl w:val="0"/>
          <w:numId w:val="0"/>
        </w:numPr>
      </w:pPr>
      <w:r>
        <w:rPr>
          <w:rFonts w:hint="eastAsia"/>
        </w:rPr>
        <w:t>附表三：城区文物古迹、工业遗存一览表</w:t>
      </w:r>
    </w:p>
    <w:tbl>
      <w:tblPr>
        <w:tblStyle w:val="36"/>
        <w:tblW w:w="9668" w:type="dxa"/>
        <w:tblInd w:w="108" w:type="dxa"/>
        <w:tblLayout w:type="autofit"/>
        <w:tblCellMar>
          <w:top w:w="0" w:type="dxa"/>
          <w:left w:w="108" w:type="dxa"/>
          <w:bottom w:w="0" w:type="dxa"/>
          <w:right w:w="108" w:type="dxa"/>
        </w:tblCellMar>
      </w:tblPr>
      <w:tblGrid>
        <w:gridCol w:w="2268"/>
        <w:gridCol w:w="3819"/>
        <w:gridCol w:w="3581"/>
      </w:tblGrid>
      <w:tr>
        <w:trPr>
          <w:trHeight w:val="270" w:hRule="atLeast"/>
          <w:tblHeader/>
        </w:trPr>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序号</w:t>
            </w: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名称</w:t>
            </w:r>
          </w:p>
        </w:tc>
        <w:tc>
          <w:tcPr>
            <w:tcW w:w="358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备注</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红四方面军警卫团</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中共川陕委</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川陕苏维埃政府</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徐向前驻地</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肃反工作会议</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妇女独立二团驻地</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损毁的历史遗址</w:t>
            </w:r>
          </w:p>
        </w:tc>
      </w:tr>
      <w:tr>
        <w:tblPrEx>
          <w:tblCellMar>
            <w:top w:w="0" w:type="dxa"/>
            <w:left w:w="108" w:type="dxa"/>
            <w:bottom w:w="0" w:type="dxa"/>
            <w:right w:w="108" w:type="dxa"/>
          </w:tblCellMar>
        </w:tblPrEx>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6</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川陕省保卫局</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损毁的历史遗址</w:t>
            </w:r>
          </w:p>
        </w:tc>
      </w:tr>
      <w:tr>
        <w:tblPrEx>
          <w:tblCellMar>
            <w:top w:w="0" w:type="dxa"/>
            <w:left w:w="108" w:type="dxa"/>
            <w:bottom w:w="0" w:type="dxa"/>
            <w:right w:w="108" w:type="dxa"/>
          </w:tblCellMar>
        </w:tblPrEx>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广元县保卫局</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中共广元县第一次党团代表大会会址</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广元县工会执行委员会</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7</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广元县革命法庭</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损毁的历史遗址</w:t>
            </w:r>
          </w:p>
        </w:tc>
      </w:tr>
      <w:tr>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川陕省革命法庭</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8</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川陕省工会执行委员会</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9</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广元县苏维埃招待所</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损毁的历史遗址，原有建筑在80年代被毁，现状仅为遗址，出于消防因素考虑，修建消防通道建议移除原有旧址。</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10</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广元县妇女会</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红四方面军工农剧团</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12</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川陕省邮政局</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川陕省交通委员会</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13</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广元县经济公社</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14</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红四方面军前线医院</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15</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广元县苏维埃工农银行</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16</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广元县苏维埃委员会</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17</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广元县苏维埃政府</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18</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广元县苏维埃邮政局</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19</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广元县军区指挥部</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20</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中共广元县委</w:t>
            </w:r>
            <w:r>
              <w:rPr>
                <w:rFonts w:ascii="Calibri" w:hAnsi="Calibri" w:eastAsia="宋体" w:cs="宋体"/>
                <w:kern w:val="0"/>
                <w:sz w:val="21"/>
                <w:szCs w:val="21"/>
              </w:rPr>
              <w:t xml:space="preserve"> </w:t>
            </w:r>
            <w:r>
              <w:rPr>
                <w:rFonts w:hint="eastAsia" w:ascii="宋体" w:hAnsi="宋体" w:eastAsia="宋体" w:cs="宋体"/>
                <w:kern w:val="0"/>
                <w:sz w:val="21"/>
                <w:szCs w:val="21"/>
              </w:rPr>
              <w:t>中国川陕省委</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21</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广元县财经委员会</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红七十三师政治部</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22</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中共国际先锋师组建地</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损毁的历史遗址</w:t>
            </w:r>
          </w:p>
        </w:tc>
      </w:tr>
      <w:tr>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巴山游击队组建地</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23</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父女独立师组建地</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损毁的历史遗址</w:t>
            </w:r>
          </w:p>
        </w:tc>
      </w:tr>
      <w:tr>
        <w:trPr>
          <w:trHeight w:val="270" w:hRule="atLeast"/>
        </w:trPr>
        <w:tc>
          <w:tcPr>
            <w:tcW w:w="2268"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水军连组建地</w:t>
            </w:r>
          </w:p>
        </w:tc>
        <w:tc>
          <w:tcPr>
            <w:tcW w:w="3581"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24</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少共广元县委（王爷庙）</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25</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红九十三师经理部</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26</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红四方面军被服厂</w:t>
            </w:r>
          </w:p>
        </w:tc>
        <w:tc>
          <w:tcPr>
            <w:tcW w:w="358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27</w:t>
            </w: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西北革命军事委员会</w:t>
            </w:r>
          </w:p>
        </w:tc>
        <w:tc>
          <w:tcPr>
            <w:tcW w:w="358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红四方面军总指挥部</w:t>
            </w:r>
          </w:p>
        </w:tc>
        <w:tc>
          <w:tcPr>
            <w:tcW w:w="358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28</w:t>
            </w: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旺苍坝市镇苏维埃政府</w:t>
            </w:r>
          </w:p>
        </w:tc>
        <w:tc>
          <w:tcPr>
            <w:tcW w:w="358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29</w:t>
            </w: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川陕省财政经济委员会</w:t>
            </w:r>
          </w:p>
        </w:tc>
        <w:tc>
          <w:tcPr>
            <w:tcW w:w="35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blPrEx>
          <w:tblCellMar>
            <w:top w:w="0" w:type="dxa"/>
            <w:left w:w="108" w:type="dxa"/>
            <w:bottom w:w="0" w:type="dxa"/>
            <w:right w:w="108" w:type="dxa"/>
          </w:tblCellMar>
        </w:tblPrEx>
        <w:trPr>
          <w:trHeight w:val="270"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红七十三师经理部</w:t>
            </w:r>
          </w:p>
        </w:tc>
        <w:tc>
          <w:tcPr>
            <w:tcW w:w="35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红三十一军经理部</w:t>
            </w:r>
          </w:p>
        </w:tc>
        <w:tc>
          <w:tcPr>
            <w:tcW w:w="35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rPr>
          <w:trHeight w:val="270"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川陕省税务局</w:t>
            </w:r>
          </w:p>
        </w:tc>
        <w:tc>
          <w:tcPr>
            <w:tcW w:w="35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rPr>
          <w:trHeight w:val="270"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川陕省工农银行</w:t>
            </w:r>
          </w:p>
        </w:tc>
        <w:tc>
          <w:tcPr>
            <w:tcW w:w="35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rPr>
          <w:trHeight w:val="270" w:hRule="atLeast"/>
        </w:trPr>
        <w:tc>
          <w:tcPr>
            <w:tcW w:w="22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30</w:t>
            </w: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王树声驻地红七十三师师部</w:t>
            </w:r>
          </w:p>
        </w:tc>
        <w:tc>
          <w:tcPr>
            <w:tcW w:w="35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损毁的历史遗址</w:t>
            </w:r>
          </w:p>
        </w:tc>
      </w:tr>
      <w:tr>
        <w:trPr>
          <w:trHeight w:val="270"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红三十一军军部</w:t>
            </w:r>
          </w:p>
        </w:tc>
        <w:tc>
          <w:tcPr>
            <w:tcW w:w="35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广元县苏维埃洪昌</w:t>
            </w:r>
          </w:p>
        </w:tc>
        <w:tc>
          <w:tcPr>
            <w:tcW w:w="35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rPr>
          <w:trHeight w:val="270" w:hRule="atLeast"/>
        </w:trPr>
        <w:tc>
          <w:tcPr>
            <w:tcW w:w="22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31</w:t>
            </w: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红四方面军政治部</w:t>
            </w:r>
          </w:p>
        </w:tc>
        <w:tc>
          <w:tcPr>
            <w:tcW w:w="35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红三十一军政治部</w:t>
            </w:r>
          </w:p>
        </w:tc>
        <w:tc>
          <w:tcPr>
            <w:tcW w:w="35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270" w:hRule="atLeast"/>
        </w:trPr>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32</w:t>
            </w: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南峰村红军石刻标语</w:t>
            </w:r>
          </w:p>
        </w:tc>
        <w:tc>
          <w:tcPr>
            <w:tcW w:w="358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r>
        <w:trPr>
          <w:trHeight w:val="270" w:hRule="atLeast"/>
        </w:trPr>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33</w:t>
            </w:r>
          </w:p>
        </w:tc>
        <w:tc>
          <w:tcPr>
            <w:tcW w:w="3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工业遗存</w:t>
            </w:r>
            <w:r>
              <w:rPr>
                <w:rFonts w:ascii="宋体" w:hAnsi="宋体" w:eastAsia="宋体" w:cs="宋体"/>
                <w:kern w:val="0"/>
                <w:sz w:val="21"/>
                <w:szCs w:val="21"/>
              </w:rPr>
              <w:t>-</w:t>
            </w:r>
            <w:r>
              <w:rPr>
                <w:rFonts w:hint="eastAsia" w:ascii="宋体" w:hAnsi="宋体" w:eastAsia="宋体" w:cs="宋体"/>
                <w:kern w:val="0"/>
                <w:sz w:val="21"/>
                <w:szCs w:val="21"/>
              </w:rPr>
              <w:t>东河印制公司（包含</w:t>
            </w:r>
            <w:r>
              <w:rPr>
                <w:rFonts w:ascii="宋体" w:hAnsi="宋体" w:eastAsia="宋体" w:cs="宋体"/>
                <w:kern w:val="0"/>
                <w:sz w:val="21"/>
                <w:szCs w:val="21"/>
              </w:rPr>
              <w:t>总部机关、</w:t>
            </w:r>
            <w:r>
              <w:rPr>
                <w:rFonts w:hint="eastAsia" w:ascii="宋体" w:hAnsi="宋体" w:eastAsia="宋体" w:cs="宋体"/>
                <w:kern w:val="0"/>
                <w:sz w:val="21"/>
                <w:szCs w:val="21"/>
              </w:rPr>
              <w:t>5</w:t>
            </w:r>
            <w:r>
              <w:rPr>
                <w:rFonts w:ascii="宋体" w:hAnsi="宋体" w:eastAsia="宋体" w:cs="宋体"/>
                <w:kern w:val="0"/>
                <w:sz w:val="21"/>
                <w:szCs w:val="21"/>
              </w:rPr>
              <w:t>02</w:t>
            </w:r>
            <w:r>
              <w:rPr>
                <w:rFonts w:hint="eastAsia" w:ascii="宋体" w:hAnsi="宋体" w:eastAsia="宋体" w:cs="宋体"/>
                <w:kern w:val="0"/>
                <w:sz w:val="21"/>
                <w:szCs w:val="21"/>
              </w:rPr>
              <w:t>厂</w:t>
            </w:r>
            <w:r>
              <w:rPr>
                <w:rFonts w:ascii="宋体" w:hAnsi="宋体" w:eastAsia="宋体" w:cs="宋体"/>
                <w:kern w:val="0"/>
                <w:sz w:val="21"/>
                <w:szCs w:val="21"/>
              </w:rPr>
              <w:t>旧址、505</w:t>
            </w:r>
            <w:r>
              <w:rPr>
                <w:rFonts w:hint="eastAsia" w:ascii="宋体" w:hAnsi="宋体" w:eastAsia="宋体" w:cs="宋体"/>
                <w:kern w:val="0"/>
                <w:sz w:val="21"/>
                <w:szCs w:val="21"/>
              </w:rPr>
              <w:t>厂</w:t>
            </w:r>
            <w:r>
              <w:rPr>
                <w:rFonts w:ascii="宋体" w:hAnsi="宋体" w:eastAsia="宋体" w:cs="宋体"/>
                <w:kern w:val="0"/>
                <w:sz w:val="21"/>
                <w:szCs w:val="21"/>
              </w:rPr>
              <w:t>旧址、金库旧址、503</w:t>
            </w:r>
            <w:r>
              <w:rPr>
                <w:rFonts w:hint="eastAsia" w:ascii="宋体" w:hAnsi="宋体" w:eastAsia="宋体" w:cs="宋体"/>
                <w:kern w:val="0"/>
                <w:sz w:val="21"/>
                <w:szCs w:val="21"/>
              </w:rPr>
              <w:t>厂</w:t>
            </w:r>
            <w:r>
              <w:rPr>
                <w:rFonts w:ascii="宋体" w:hAnsi="宋体" w:eastAsia="宋体" w:cs="宋体"/>
                <w:kern w:val="0"/>
                <w:sz w:val="21"/>
                <w:szCs w:val="21"/>
              </w:rPr>
              <w:t>旧址</w:t>
            </w:r>
            <w:r>
              <w:rPr>
                <w:rFonts w:hint="eastAsia" w:ascii="宋体" w:hAnsi="宋体" w:eastAsia="宋体" w:cs="宋体"/>
                <w:kern w:val="0"/>
                <w:sz w:val="21"/>
                <w:szCs w:val="21"/>
              </w:rPr>
              <w:t>）</w:t>
            </w:r>
          </w:p>
        </w:tc>
        <w:tc>
          <w:tcPr>
            <w:tcW w:w="358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省级保护单位</w:t>
            </w:r>
          </w:p>
        </w:tc>
      </w:tr>
    </w:tbl>
    <w:p>
      <w:pPr>
        <w:ind w:firstLine="480"/>
      </w:pPr>
    </w:p>
    <w:p>
      <w:pPr>
        <w:pStyle w:val="76"/>
        <w:numPr>
          <w:ilvl w:val="0"/>
          <w:numId w:val="0"/>
        </w:numPr>
        <w:rPr>
          <w:color w:val="auto"/>
        </w:rPr>
      </w:pPr>
      <w:bookmarkStart w:id="163" w:name="_Toc3889259"/>
      <w:r>
        <w:rPr>
          <w:rFonts w:hint="eastAsia"/>
          <w:color w:val="auto"/>
        </w:rPr>
        <w:t>拟申报名单</w:t>
      </w:r>
      <w:bookmarkEnd w:id="163"/>
    </w:p>
    <w:p>
      <w:pPr>
        <w:pStyle w:val="79"/>
        <w:numPr>
          <w:ilvl w:val="0"/>
          <w:numId w:val="0"/>
        </w:numPr>
      </w:pPr>
      <w:r>
        <w:rPr>
          <w:rFonts w:hint="eastAsia"/>
        </w:rPr>
        <w:t>附表四：县域拟</w:t>
      </w:r>
      <w:r>
        <w:t>申报历史文化街区</w:t>
      </w:r>
      <w:r>
        <w:rPr>
          <w:rFonts w:hint="eastAsia"/>
        </w:rPr>
        <w:t>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591"/>
        <w:gridCol w:w="7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gridSpan w:val="3"/>
            <w:shd w:val="clear" w:color="auto" w:fill="auto"/>
            <w:noWrap/>
            <w:vAlign w:val="center"/>
          </w:tcPr>
          <w:p>
            <w:pPr>
              <w:widowControl/>
              <w:adjustRightInd/>
              <w:snapToGrid/>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县域拟申报历史文化街区一览表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序号</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名称</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申报内容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水磨场镇</w:t>
            </w:r>
          </w:p>
        </w:tc>
        <w:tc>
          <w:tcPr>
            <w:tcW w:w="0" w:type="auto"/>
            <w:shd w:val="clear" w:color="auto" w:fill="auto"/>
            <w:vAlign w:val="center"/>
          </w:tcPr>
          <w:p>
            <w:pPr>
              <w:widowControl/>
              <w:adjustRightInd/>
              <w:snapToGrid/>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 xml:space="preserve">    在市级文化街区的基础上申报更高等级的文化街区。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ascii="宋体" w:hAnsi="宋体" w:eastAsia="宋体" w:cs="宋体"/>
                <w:kern w:val="0"/>
                <w:sz w:val="22"/>
                <w:szCs w:val="22"/>
              </w:rPr>
              <w:t>2</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木门镇传统老街</w:t>
            </w:r>
          </w:p>
        </w:tc>
        <w:tc>
          <w:tcPr>
            <w:tcW w:w="0" w:type="auto"/>
            <w:shd w:val="clear" w:color="auto" w:fill="auto"/>
            <w:vAlign w:val="center"/>
          </w:tcPr>
          <w:p>
            <w:pPr>
              <w:widowControl/>
              <w:adjustRightInd/>
              <w:snapToGrid/>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 xml:space="preserve">    挖掘老街的历史文化价值，在满足历史文化街区的申报条件下，申报为历史文化街区。</w:t>
            </w:r>
          </w:p>
        </w:tc>
      </w:tr>
    </w:tbl>
    <w:p>
      <w:pPr>
        <w:ind w:firstLine="480"/>
      </w:pPr>
    </w:p>
    <w:p>
      <w:pPr>
        <w:pStyle w:val="79"/>
        <w:numPr>
          <w:ilvl w:val="0"/>
          <w:numId w:val="0"/>
        </w:numPr>
      </w:pPr>
      <w:r>
        <w:rPr>
          <w:rFonts w:hint="eastAsia"/>
        </w:rPr>
        <w:t>附表五</w:t>
      </w:r>
      <w:r>
        <w:t>：</w:t>
      </w:r>
      <w:r>
        <w:rPr>
          <w:rFonts w:hint="eastAsia"/>
        </w:rPr>
        <w:t>县域</w:t>
      </w:r>
      <w:r>
        <w:t>拟申报传统村落一览表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476"/>
        <w:gridCol w:w="1056"/>
        <w:gridCol w:w="1180"/>
        <w:gridCol w:w="2106"/>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9776" w:type="dxa"/>
            <w:gridSpan w:val="6"/>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县域拟申报传统村落一览表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序号</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名    称</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类  别</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保护级别</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地  址</w:t>
            </w:r>
          </w:p>
        </w:tc>
        <w:tc>
          <w:tcPr>
            <w:tcW w:w="3260" w:type="dxa"/>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燕子乡金银村</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传统村落</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未评定</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旺苍县燕子乡金银村</w:t>
            </w:r>
          </w:p>
        </w:tc>
        <w:tc>
          <w:tcPr>
            <w:tcW w:w="3260" w:type="dxa"/>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bl>
    <w:p>
      <w:pPr>
        <w:ind w:firstLine="480"/>
      </w:pPr>
    </w:p>
    <w:p>
      <w:pPr>
        <w:pStyle w:val="79"/>
        <w:numPr>
          <w:ilvl w:val="0"/>
          <w:numId w:val="0"/>
        </w:numPr>
      </w:pPr>
      <w:r>
        <w:rPr>
          <w:rFonts w:hint="eastAsia"/>
        </w:rPr>
        <w:t>附表六</w:t>
      </w:r>
      <w:r>
        <w:t>：</w:t>
      </w:r>
      <w:r>
        <w:rPr>
          <w:rFonts w:hint="eastAsia"/>
        </w:rPr>
        <w:t>县域</w:t>
      </w:r>
      <w:r>
        <w:t>拟申报文物保护单位一览表</w:t>
      </w:r>
    </w:p>
    <w:tbl>
      <w:tblPr>
        <w:tblStyle w:val="36"/>
        <w:tblW w:w="0" w:type="auto"/>
        <w:tblInd w:w="0" w:type="dxa"/>
        <w:tblLayout w:type="autofit"/>
        <w:tblCellMar>
          <w:top w:w="0" w:type="dxa"/>
          <w:left w:w="108" w:type="dxa"/>
          <w:bottom w:w="0" w:type="dxa"/>
          <w:right w:w="108" w:type="dxa"/>
        </w:tblCellMar>
      </w:tblPr>
      <w:tblGrid>
        <w:gridCol w:w="698"/>
        <w:gridCol w:w="1870"/>
        <w:gridCol w:w="1418"/>
        <w:gridCol w:w="1275"/>
        <w:gridCol w:w="851"/>
        <w:gridCol w:w="1559"/>
        <w:gridCol w:w="2371"/>
      </w:tblGrid>
      <w:tr>
        <w:tblPrEx>
          <w:tblCellMar>
            <w:top w:w="0" w:type="dxa"/>
            <w:left w:w="108" w:type="dxa"/>
            <w:bottom w:w="0" w:type="dxa"/>
            <w:right w:w="108" w:type="dxa"/>
          </w:tblCellMar>
        </w:tblPrEx>
        <w:trPr>
          <w:trHeight w:val="20" w:hRule="atLeast"/>
          <w:tblHeader/>
        </w:trPr>
        <w:tc>
          <w:tcPr>
            <w:tcW w:w="0" w:type="auto"/>
            <w:tcBorders>
              <w:top w:val="single" w:color="auto" w:sz="8" w:space="0"/>
              <w:left w:val="single" w:color="auto" w:sz="8" w:space="0"/>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序号</w:t>
            </w:r>
          </w:p>
        </w:tc>
        <w:tc>
          <w:tcPr>
            <w:tcW w:w="1870"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名    称</w:t>
            </w:r>
          </w:p>
        </w:tc>
        <w:tc>
          <w:tcPr>
            <w:tcW w:w="1418"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年 代</w:t>
            </w:r>
          </w:p>
        </w:tc>
        <w:tc>
          <w:tcPr>
            <w:tcW w:w="1275"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类  别</w:t>
            </w:r>
          </w:p>
        </w:tc>
        <w:tc>
          <w:tcPr>
            <w:tcW w:w="851"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保护级别</w:t>
            </w:r>
          </w:p>
        </w:tc>
        <w:tc>
          <w:tcPr>
            <w:tcW w:w="1559"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地  址</w:t>
            </w:r>
          </w:p>
        </w:tc>
        <w:tc>
          <w:tcPr>
            <w:tcW w:w="2371"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备注</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木门郡遗址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南北朝</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天符观遗址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唐代</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东河镇天符村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安家窑窑址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元</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龙凤乡五营村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铁佛寺遗址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米仓山镇金竹村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红灯教鼓城村活动点</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米仓山镇鼓城村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索家墓群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尚武镇榆钱村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杜氏家族墓群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龙凤乡龙鞍村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杜家墓群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木门镇农科村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木门镇农科村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何崇杨家族墓群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木门镇双山村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何斐家族墓群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木门镇天星村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盐井村李氏墓群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木门镇盐井村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冯仕举墓</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水磨乡火花村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赵氏家族墓群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大两乡德山村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嘉川府衙旧址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嘉川镇石龙村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清平洞石室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17</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狮子寨</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九龙乡先锋村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18</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九龙杨家祠堂</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长生洞</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化龙乡化龙村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紫云洞石室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英萃镇新建村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21</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燕儿岩石室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东河镇东河村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22</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慈云寺摩崖石刻</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23</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八庙革命烈士纪念碑</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普济镇秀海村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24</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九龙寨战斗址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张华镇桂花村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25</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彭杨红四方面军军事政治干部学校旧址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26</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白岩大堰</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1958年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国华镇古松村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27</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爱国堰</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1963年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大德乡爱国村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28</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旺苍烈士陵园</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1957年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林溪烈士陵园的烈士墓和县境内散葬的烈士墓共150座，一并迁入该陵园。</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29</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西河恐龙化石点</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旧石器时代</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其他</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嘉川镇槐树村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bl>
    <w:p>
      <w:pPr>
        <w:ind w:firstLine="480"/>
      </w:pPr>
    </w:p>
    <w:p>
      <w:pPr>
        <w:ind w:firstLine="480"/>
      </w:pPr>
    </w:p>
    <w:p>
      <w:pPr>
        <w:ind w:firstLine="480"/>
      </w:pPr>
    </w:p>
    <w:p>
      <w:pPr>
        <w:pStyle w:val="79"/>
        <w:numPr>
          <w:ilvl w:val="0"/>
          <w:numId w:val="0"/>
        </w:numPr>
      </w:pPr>
      <w:r>
        <w:rPr>
          <w:rFonts w:hint="eastAsia"/>
        </w:rPr>
        <w:t>附表七</w:t>
      </w:r>
      <w:r>
        <w:t>：</w:t>
      </w:r>
      <w:r>
        <w:rPr>
          <w:rFonts w:hint="eastAsia"/>
        </w:rPr>
        <w:t>拟</w:t>
      </w:r>
      <w:r>
        <w:t>申报历史建筑一览表</w:t>
      </w:r>
    </w:p>
    <w:tbl>
      <w:tblPr>
        <w:tblStyle w:val="36"/>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0"/>
        <w:gridCol w:w="996"/>
        <w:gridCol w:w="1370"/>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580" w:type="dxa"/>
            <w:vAlign w:val="center"/>
          </w:tcPr>
          <w:p>
            <w:pPr>
              <w:spacing w:line="240" w:lineRule="auto"/>
              <w:ind w:firstLine="0" w:firstLineChars="0"/>
              <w:jc w:val="center"/>
            </w:pPr>
            <w:r>
              <w:rPr>
                <w:rFonts w:hint="eastAsia"/>
              </w:rPr>
              <w:t>名称</w:t>
            </w:r>
          </w:p>
        </w:tc>
        <w:tc>
          <w:tcPr>
            <w:tcW w:w="996" w:type="dxa"/>
            <w:vAlign w:val="center"/>
          </w:tcPr>
          <w:p>
            <w:pPr>
              <w:spacing w:line="240" w:lineRule="auto"/>
              <w:ind w:firstLine="0" w:firstLineChars="0"/>
              <w:jc w:val="center"/>
            </w:pPr>
            <w:r>
              <w:rPr>
                <w:rFonts w:hint="eastAsia"/>
              </w:rPr>
              <w:t>年代</w:t>
            </w:r>
          </w:p>
        </w:tc>
        <w:tc>
          <w:tcPr>
            <w:tcW w:w="0" w:type="auto"/>
            <w:vAlign w:val="center"/>
          </w:tcPr>
          <w:p>
            <w:pPr>
              <w:spacing w:line="240" w:lineRule="auto"/>
              <w:ind w:firstLine="0" w:firstLineChars="0"/>
              <w:jc w:val="center"/>
            </w:pPr>
            <w:r>
              <w:rPr>
                <w:rFonts w:hint="eastAsia"/>
              </w:rPr>
              <w:t>建筑情况</w:t>
            </w:r>
          </w:p>
        </w:tc>
        <w:tc>
          <w:tcPr>
            <w:tcW w:w="0" w:type="auto"/>
            <w:vAlign w:val="center"/>
          </w:tcPr>
          <w:p>
            <w:pPr>
              <w:spacing w:line="240" w:lineRule="auto"/>
              <w:ind w:firstLine="0" w:firstLineChars="0"/>
              <w:jc w:val="center"/>
            </w:pPr>
            <w:r>
              <w:rPr>
                <w:rFonts w:hint="eastAsia"/>
              </w:rPr>
              <w:t>符合标准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80" w:type="dxa"/>
            <w:vAlign w:val="center"/>
          </w:tcPr>
          <w:p>
            <w:pPr>
              <w:spacing w:line="240" w:lineRule="auto"/>
              <w:ind w:firstLine="0" w:firstLineChars="0"/>
              <w:jc w:val="center"/>
            </w:pPr>
            <w:r>
              <w:rPr>
                <w:rFonts w:hint="eastAsia"/>
              </w:rPr>
              <w:t>505厂发电车间、检验室、化验室、检修值班室、输煤栈桥</w:t>
            </w:r>
          </w:p>
        </w:tc>
        <w:tc>
          <w:tcPr>
            <w:tcW w:w="996" w:type="dxa"/>
            <w:vAlign w:val="center"/>
          </w:tcPr>
          <w:p>
            <w:pPr>
              <w:spacing w:line="240" w:lineRule="auto"/>
              <w:ind w:firstLine="0" w:firstLineChars="0"/>
              <w:jc w:val="center"/>
            </w:pPr>
            <w:r>
              <w:rPr>
                <w:rFonts w:hint="eastAsia"/>
              </w:rPr>
              <w:t>60年代</w:t>
            </w:r>
          </w:p>
        </w:tc>
        <w:tc>
          <w:tcPr>
            <w:tcW w:w="0" w:type="auto"/>
            <w:vAlign w:val="center"/>
          </w:tcPr>
          <w:p>
            <w:pPr>
              <w:spacing w:line="240" w:lineRule="auto"/>
              <w:ind w:firstLine="0" w:firstLineChars="0"/>
              <w:jc w:val="left"/>
            </w:pPr>
            <w:r>
              <w:rPr>
                <w:rFonts w:hint="eastAsia"/>
              </w:rPr>
              <w:t>保留较为完整</w:t>
            </w:r>
          </w:p>
        </w:tc>
        <w:tc>
          <w:tcPr>
            <w:tcW w:w="0" w:type="auto"/>
            <w:vAlign w:val="center"/>
          </w:tcPr>
          <w:p>
            <w:pPr>
              <w:spacing w:line="240" w:lineRule="auto"/>
              <w:ind w:firstLine="0" w:firstLineChars="0"/>
              <w:jc w:val="left"/>
            </w:pPr>
            <w:r>
              <w:rPr>
                <w:rFonts w:hint="eastAsia" w:ascii="Calibri" w:hAnsi="Calibri" w:eastAsia="宋体"/>
              </w:rPr>
              <w:t>在某一行业发展史上具有代表性</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80" w:type="dxa"/>
            <w:vAlign w:val="center"/>
          </w:tcPr>
          <w:p>
            <w:pPr>
              <w:spacing w:line="240" w:lineRule="auto"/>
              <w:ind w:firstLine="0" w:firstLineChars="0"/>
              <w:jc w:val="center"/>
            </w:pPr>
            <w:r>
              <w:rPr>
                <w:rFonts w:hint="eastAsia"/>
              </w:rPr>
              <w:t>502厂活动中心</w:t>
            </w:r>
          </w:p>
        </w:tc>
        <w:tc>
          <w:tcPr>
            <w:tcW w:w="996" w:type="dxa"/>
            <w:vAlign w:val="center"/>
          </w:tcPr>
          <w:p>
            <w:pPr>
              <w:spacing w:line="240" w:lineRule="auto"/>
              <w:ind w:firstLine="0" w:firstLineChars="0"/>
              <w:jc w:val="center"/>
            </w:pPr>
            <w:r>
              <w:rPr>
                <w:rFonts w:hint="eastAsia"/>
              </w:rPr>
              <w:t>70年代</w:t>
            </w:r>
          </w:p>
        </w:tc>
        <w:tc>
          <w:tcPr>
            <w:tcW w:w="0" w:type="auto"/>
            <w:vAlign w:val="center"/>
          </w:tcPr>
          <w:p>
            <w:pPr>
              <w:spacing w:line="240" w:lineRule="auto"/>
              <w:ind w:firstLine="0" w:firstLineChars="0"/>
              <w:jc w:val="left"/>
            </w:pPr>
            <w:r>
              <w:rPr>
                <w:rFonts w:hint="eastAsia"/>
              </w:rPr>
              <w:t>保留较为完整</w:t>
            </w:r>
          </w:p>
        </w:tc>
        <w:tc>
          <w:tcPr>
            <w:tcW w:w="0" w:type="auto"/>
            <w:vAlign w:val="center"/>
          </w:tcPr>
          <w:p>
            <w:pPr>
              <w:spacing w:line="240" w:lineRule="auto"/>
              <w:ind w:firstLine="0" w:firstLineChars="0"/>
              <w:jc w:val="left"/>
            </w:pPr>
            <w:r>
              <w:rPr>
                <w:rFonts w:hint="eastAsia" w:ascii="Calibri" w:hAnsi="Calibri" w:eastAsia="宋体"/>
              </w:rPr>
              <w:t>在某一行业发展史上具有代表性</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80" w:type="dxa"/>
            <w:vAlign w:val="center"/>
          </w:tcPr>
          <w:p>
            <w:pPr>
              <w:spacing w:line="240" w:lineRule="auto"/>
              <w:ind w:firstLine="0" w:firstLineChars="0"/>
              <w:jc w:val="center"/>
            </w:pPr>
            <w:r>
              <w:rPr>
                <w:rFonts w:hint="eastAsia"/>
              </w:rPr>
              <w:t>旺苍县天马丝绸厂</w:t>
            </w:r>
          </w:p>
        </w:tc>
        <w:tc>
          <w:tcPr>
            <w:tcW w:w="996" w:type="dxa"/>
            <w:vAlign w:val="center"/>
          </w:tcPr>
          <w:p>
            <w:pPr>
              <w:spacing w:line="240" w:lineRule="auto"/>
              <w:ind w:firstLine="0" w:firstLineChars="0"/>
              <w:jc w:val="center"/>
            </w:pPr>
            <w:r>
              <w:rPr>
                <w:rFonts w:hint="eastAsia"/>
              </w:rPr>
              <w:t>60年代</w:t>
            </w:r>
          </w:p>
        </w:tc>
        <w:tc>
          <w:tcPr>
            <w:tcW w:w="0" w:type="auto"/>
            <w:vAlign w:val="center"/>
          </w:tcPr>
          <w:p>
            <w:pPr>
              <w:spacing w:line="240" w:lineRule="auto"/>
              <w:ind w:firstLine="0" w:firstLineChars="0"/>
              <w:jc w:val="left"/>
            </w:pPr>
            <w:r>
              <w:rPr>
                <w:rFonts w:hint="eastAsia"/>
              </w:rPr>
              <w:t>保留较为完整</w:t>
            </w:r>
          </w:p>
        </w:tc>
        <w:tc>
          <w:tcPr>
            <w:tcW w:w="0" w:type="auto"/>
            <w:vAlign w:val="center"/>
          </w:tcPr>
          <w:p>
            <w:pPr>
              <w:spacing w:line="240" w:lineRule="auto"/>
              <w:ind w:firstLine="0" w:firstLineChars="0"/>
              <w:jc w:val="left"/>
            </w:pPr>
            <w:r>
              <w:rPr>
                <w:rFonts w:hint="eastAsia" w:ascii="Calibri" w:hAnsi="Calibri" w:eastAsia="宋体"/>
              </w:rPr>
              <w:t>在某一行业发展史上具有代表性</w:t>
            </w:r>
            <w:r>
              <w:rPr>
                <w:rFonts w:hint="eastAsia"/>
              </w:rPr>
              <w:t>。</w:t>
            </w:r>
          </w:p>
        </w:tc>
      </w:tr>
    </w:tbl>
    <w:p>
      <w:pPr>
        <w:ind w:firstLine="480"/>
      </w:pPr>
    </w:p>
    <w:sectPr>
      <w:pgSz w:w="23814" w:h="16839"/>
      <w:pgMar w:top="1440" w:right="1800" w:bottom="1440" w:left="1800" w:header="851" w:footer="992" w:gutter="0"/>
      <w:cols w:space="425" w:num="2"/>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libri Light">
    <w:altName w:val="Calibri"/>
    <w:panose1 w:val="020F0302020204030204"/>
    <w:charset w:val="00"/>
    <w:family w:val="swiss"/>
    <w:pitch w:val="default"/>
    <w:sig w:usb0="00000000" w:usb1="00000000" w:usb2="00000000" w:usb3="00000000" w:csb0="000000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dobe 黑体 Std R">
    <w:altName w:val="微软雅黑"/>
    <w:panose1 w:val="00000000000000000000"/>
    <w:charset w:val="86"/>
    <w:family w:val="swiss"/>
    <w:pitch w:val="default"/>
    <w:sig w:usb0="00000000" w:usb1="00000000" w:usb2="00000016" w:usb3="00000000" w:csb0="00060007" w:csb1="00000000"/>
  </w:font>
  <w:font w:name="微软雅黑">
    <w:panose1 w:val="020B0503020204020204"/>
    <w:charset w:val="86"/>
    <w:family w:val="auto"/>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方正仿宋简体">
    <w:panose1 w:val="02010601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right"/>
    </w:pPr>
    <w:r>
      <w:fldChar w:fldCharType="begin"/>
    </w:r>
    <w:r>
      <w:rPr>
        <w:rStyle w:val="40"/>
      </w:rPr>
      <w:instrText xml:space="preserve"> PAGE </w:instrText>
    </w:r>
    <w:r>
      <w:fldChar w:fldCharType="separate"/>
    </w:r>
    <w:r>
      <w:rPr>
        <w:rStyle w:val="40"/>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36" w:lineRule="auto"/>
        <w:ind w:firstLine="480"/>
      </w:pPr>
      <w:r>
        <w:separator/>
      </w:r>
    </w:p>
  </w:footnote>
  <w:footnote w:type="continuationSeparator" w:id="1">
    <w:p>
      <w:pPr>
        <w:spacing w:line="336"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1">
    <w:nsid w:val="07CE0969"/>
    <w:multiLevelType w:val="multilevel"/>
    <w:tmpl w:val="07CE0969"/>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
    <w:nsid w:val="085852CA"/>
    <w:multiLevelType w:val="multilevel"/>
    <w:tmpl w:val="085852C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9D738FC"/>
    <w:multiLevelType w:val="multilevel"/>
    <w:tmpl w:val="09D738FC"/>
    <w:lvl w:ilvl="0" w:tentative="0">
      <w:start w:val="1"/>
      <w:numFmt w:val="chineseCountingThousand"/>
      <w:pStyle w:val="98"/>
      <w:lvlText w:val="第%1章"/>
      <w:lvlJc w:val="left"/>
      <w:pPr>
        <w:ind w:left="1633" w:hanging="360"/>
      </w:pPr>
      <w:rPr>
        <w:rFonts w:hint="eastAsia" w:cs="Times New Roman"/>
      </w:rPr>
    </w:lvl>
    <w:lvl w:ilvl="1" w:tentative="0">
      <w:start w:val="1"/>
      <w:numFmt w:val="lowerLetter"/>
      <w:lvlText w:val="%2)"/>
      <w:lvlJc w:val="left"/>
      <w:pPr>
        <w:ind w:left="2113" w:hanging="420"/>
      </w:pPr>
      <w:rPr>
        <w:rFonts w:cs="Times New Roman"/>
      </w:rPr>
    </w:lvl>
    <w:lvl w:ilvl="2" w:tentative="0">
      <w:start w:val="1"/>
      <w:numFmt w:val="lowerRoman"/>
      <w:lvlText w:val="%3."/>
      <w:lvlJc w:val="right"/>
      <w:pPr>
        <w:ind w:left="2533" w:hanging="420"/>
      </w:pPr>
      <w:rPr>
        <w:rFonts w:cs="Times New Roman"/>
      </w:rPr>
    </w:lvl>
    <w:lvl w:ilvl="3" w:tentative="0">
      <w:start w:val="1"/>
      <w:numFmt w:val="decimal"/>
      <w:lvlText w:val="%4."/>
      <w:lvlJc w:val="left"/>
      <w:pPr>
        <w:ind w:left="2953" w:hanging="420"/>
      </w:pPr>
      <w:rPr>
        <w:rFonts w:cs="Times New Roman"/>
      </w:rPr>
    </w:lvl>
    <w:lvl w:ilvl="4" w:tentative="0">
      <w:start w:val="1"/>
      <w:numFmt w:val="lowerLetter"/>
      <w:lvlText w:val="%5)"/>
      <w:lvlJc w:val="left"/>
      <w:pPr>
        <w:ind w:left="3373" w:hanging="420"/>
      </w:pPr>
      <w:rPr>
        <w:rFonts w:cs="Times New Roman"/>
      </w:rPr>
    </w:lvl>
    <w:lvl w:ilvl="5" w:tentative="0">
      <w:start w:val="1"/>
      <w:numFmt w:val="lowerRoman"/>
      <w:lvlText w:val="%6."/>
      <w:lvlJc w:val="right"/>
      <w:pPr>
        <w:ind w:left="3793" w:hanging="420"/>
      </w:pPr>
      <w:rPr>
        <w:rFonts w:cs="Times New Roman"/>
      </w:rPr>
    </w:lvl>
    <w:lvl w:ilvl="6" w:tentative="0">
      <w:start w:val="1"/>
      <w:numFmt w:val="decimal"/>
      <w:lvlText w:val="%7."/>
      <w:lvlJc w:val="left"/>
      <w:pPr>
        <w:ind w:left="4213" w:hanging="420"/>
      </w:pPr>
      <w:rPr>
        <w:rFonts w:cs="Times New Roman"/>
      </w:rPr>
    </w:lvl>
    <w:lvl w:ilvl="7" w:tentative="0">
      <w:start w:val="1"/>
      <w:numFmt w:val="lowerLetter"/>
      <w:lvlText w:val="%8)"/>
      <w:lvlJc w:val="left"/>
      <w:pPr>
        <w:ind w:left="4633" w:hanging="420"/>
      </w:pPr>
      <w:rPr>
        <w:rFonts w:cs="Times New Roman"/>
      </w:rPr>
    </w:lvl>
    <w:lvl w:ilvl="8" w:tentative="0">
      <w:start w:val="1"/>
      <w:numFmt w:val="lowerRoman"/>
      <w:lvlText w:val="%9."/>
      <w:lvlJc w:val="right"/>
      <w:pPr>
        <w:ind w:left="5053" w:hanging="420"/>
      </w:pPr>
      <w:rPr>
        <w:rFonts w:cs="Times New Roman"/>
      </w:rPr>
    </w:lvl>
  </w:abstractNum>
  <w:abstractNum w:abstractNumId="4">
    <w:nsid w:val="11161C2E"/>
    <w:multiLevelType w:val="multilevel"/>
    <w:tmpl w:val="11161C2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7AB42D8"/>
    <w:multiLevelType w:val="multilevel"/>
    <w:tmpl w:val="17AB42D8"/>
    <w:lvl w:ilvl="0" w:tentative="0">
      <w:start w:val="1"/>
      <w:numFmt w:val="decimal"/>
      <w:pStyle w:val="4"/>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B1767D0"/>
    <w:multiLevelType w:val="multilevel"/>
    <w:tmpl w:val="1B1767D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54328CB"/>
    <w:multiLevelType w:val="multilevel"/>
    <w:tmpl w:val="254328CB"/>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8">
    <w:nsid w:val="27C447FB"/>
    <w:multiLevelType w:val="multilevel"/>
    <w:tmpl w:val="27C447FB"/>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9">
    <w:nsid w:val="2C044B2B"/>
    <w:multiLevelType w:val="multilevel"/>
    <w:tmpl w:val="2C044B2B"/>
    <w:lvl w:ilvl="0" w:tentative="0">
      <w:start w:val="1"/>
      <w:numFmt w:val="decimal"/>
      <w:pStyle w:val="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5B647F3"/>
    <w:multiLevelType w:val="multilevel"/>
    <w:tmpl w:val="35B647F3"/>
    <w:lvl w:ilvl="0" w:tentative="0">
      <w:start w:val="1"/>
      <w:numFmt w:val="lowerLetter"/>
      <w:pStyle w:val="7"/>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7557ABD"/>
    <w:multiLevelType w:val="multilevel"/>
    <w:tmpl w:val="37557AB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ABE3F6E"/>
    <w:multiLevelType w:val="multilevel"/>
    <w:tmpl w:val="3ABE3F6E"/>
    <w:lvl w:ilvl="0" w:tentative="0">
      <w:start w:val="1"/>
      <w:numFmt w:val="decimal"/>
      <w:pStyle w:val="79"/>
      <w:lvlText w:val="%1."/>
      <w:lvlJc w:val="left"/>
      <w:pPr>
        <w:ind w:left="562"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42951394"/>
    <w:multiLevelType w:val="multilevel"/>
    <w:tmpl w:val="42951394"/>
    <w:lvl w:ilvl="0" w:tentative="0">
      <w:start w:val="1"/>
      <w:numFmt w:val="decimal"/>
      <w:pStyle w:val="5"/>
      <w:lvlText w:val="（%1）."/>
      <w:lvlJc w:val="left"/>
      <w:pPr>
        <w:ind w:left="420" w:hanging="420"/>
      </w:pPr>
      <w:rPr>
        <w:rFonts w:hint="eastAsia"/>
        <w:lang w:val="en-US"/>
      </w:rPr>
    </w:lvl>
    <w:lvl w:ilvl="1" w:tentative="0">
      <w:start w:val="1"/>
      <w:numFmt w:val="lowerLetter"/>
      <w:lvlText w:val="%2)"/>
      <w:lvlJc w:val="left"/>
      <w:pPr>
        <w:ind w:left="-436" w:hanging="420"/>
      </w:pPr>
    </w:lvl>
    <w:lvl w:ilvl="2" w:tentative="0">
      <w:start w:val="1"/>
      <w:numFmt w:val="lowerRoman"/>
      <w:lvlText w:val="%3."/>
      <w:lvlJc w:val="right"/>
      <w:pPr>
        <w:ind w:left="-16" w:hanging="420"/>
      </w:pPr>
    </w:lvl>
    <w:lvl w:ilvl="3" w:tentative="0">
      <w:start w:val="1"/>
      <w:numFmt w:val="decimal"/>
      <w:lvlText w:val="%4."/>
      <w:lvlJc w:val="left"/>
      <w:pPr>
        <w:ind w:left="404" w:hanging="420"/>
      </w:pPr>
    </w:lvl>
    <w:lvl w:ilvl="4" w:tentative="0">
      <w:start w:val="1"/>
      <w:numFmt w:val="lowerLetter"/>
      <w:lvlText w:val="%5)"/>
      <w:lvlJc w:val="left"/>
      <w:pPr>
        <w:ind w:left="824" w:hanging="420"/>
      </w:pPr>
    </w:lvl>
    <w:lvl w:ilvl="5" w:tentative="0">
      <w:start w:val="1"/>
      <w:numFmt w:val="lowerRoman"/>
      <w:lvlText w:val="%6."/>
      <w:lvlJc w:val="right"/>
      <w:pPr>
        <w:ind w:left="1244" w:hanging="420"/>
      </w:pPr>
    </w:lvl>
    <w:lvl w:ilvl="6" w:tentative="0">
      <w:start w:val="1"/>
      <w:numFmt w:val="decimal"/>
      <w:lvlText w:val="%7."/>
      <w:lvlJc w:val="left"/>
      <w:pPr>
        <w:ind w:left="1664" w:hanging="420"/>
      </w:pPr>
    </w:lvl>
    <w:lvl w:ilvl="7" w:tentative="0">
      <w:start w:val="1"/>
      <w:numFmt w:val="lowerLetter"/>
      <w:lvlText w:val="%8)"/>
      <w:lvlJc w:val="left"/>
      <w:pPr>
        <w:ind w:left="2084" w:hanging="420"/>
      </w:pPr>
    </w:lvl>
    <w:lvl w:ilvl="8" w:tentative="0">
      <w:start w:val="1"/>
      <w:numFmt w:val="lowerRoman"/>
      <w:lvlText w:val="%9."/>
      <w:lvlJc w:val="right"/>
      <w:pPr>
        <w:ind w:left="2504" w:hanging="420"/>
      </w:pPr>
    </w:lvl>
  </w:abstractNum>
  <w:abstractNum w:abstractNumId="14">
    <w:nsid w:val="49575421"/>
    <w:multiLevelType w:val="multilevel"/>
    <w:tmpl w:val="49575421"/>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15">
    <w:nsid w:val="4CA47866"/>
    <w:multiLevelType w:val="multilevel"/>
    <w:tmpl w:val="4CA47866"/>
    <w:lvl w:ilvl="0" w:tentative="0">
      <w:start w:val="1"/>
      <w:numFmt w:val="chineseCountingThousand"/>
      <w:pStyle w:val="10"/>
      <w:lvlText w:val="第%1节"/>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DC555E5"/>
    <w:multiLevelType w:val="multilevel"/>
    <w:tmpl w:val="4DC555E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0BC4DB5"/>
    <w:multiLevelType w:val="multilevel"/>
    <w:tmpl w:val="60BC4DB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14D066C"/>
    <w:multiLevelType w:val="multilevel"/>
    <w:tmpl w:val="614D066C"/>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19">
    <w:nsid w:val="66255E64"/>
    <w:multiLevelType w:val="multilevel"/>
    <w:tmpl w:val="66255E64"/>
    <w:lvl w:ilvl="0" w:tentative="0">
      <w:start w:val="1"/>
      <w:numFmt w:val="decimal"/>
      <w:pStyle w:val="86"/>
      <w:lvlText w:val="%1)"/>
      <w:lvlJc w:val="left"/>
      <w:pPr>
        <w:ind w:left="1271" w:hanging="420"/>
      </w:p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20">
    <w:nsid w:val="673E705F"/>
    <w:multiLevelType w:val="multilevel"/>
    <w:tmpl w:val="673E705F"/>
    <w:lvl w:ilvl="0" w:tentative="0">
      <w:start w:val="1"/>
      <w:numFmt w:val="chineseCountingThousand"/>
      <w:pStyle w:val="9"/>
      <w:lvlText w:val="第%1章、"/>
      <w:lvlJc w:val="left"/>
      <w:pPr>
        <w:ind w:left="420" w:hanging="420"/>
      </w:pPr>
      <w:rPr>
        <w:rFonts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3130" w:hanging="420"/>
      </w:pPr>
    </w:lvl>
    <w:lvl w:ilvl="2" w:tentative="0">
      <w:start w:val="1"/>
      <w:numFmt w:val="lowerRoman"/>
      <w:lvlText w:val="%3."/>
      <w:lvlJc w:val="right"/>
      <w:pPr>
        <w:ind w:left="-2710" w:hanging="420"/>
      </w:pPr>
    </w:lvl>
    <w:lvl w:ilvl="3" w:tentative="0">
      <w:start w:val="1"/>
      <w:numFmt w:val="decimal"/>
      <w:lvlText w:val="%4."/>
      <w:lvlJc w:val="left"/>
      <w:pPr>
        <w:ind w:left="-2290" w:hanging="420"/>
      </w:pPr>
    </w:lvl>
    <w:lvl w:ilvl="4" w:tentative="0">
      <w:start w:val="1"/>
      <w:numFmt w:val="lowerLetter"/>
      <w:lvlText w:val="%5)"/>
      <w:lvlJc w:val="left"/>
      <w:pPr>
        <w:ind w:left="-1870" w:hanging="420"/>
      </w:pPr>
    </w:lvl>
    <w:lvl w:ilvl="5" w:tentative="0">
      <w:start w:val="1"/>
      <w:numFmt w:val="lowerRoman"/>
      <w:lvlText w:val="%6."/>
      <w:lvlJc w:val="right"/>
      <w:pPr>
        <w:ind w:left="-1450" w:hanging="420"/>
      </w:pPr>
    </w:lvl>
    <w:lvl w:ilvl="6" w:tentative="0">
      <w:start w:val="1"/>
      <w:numFmt w:val="decimal"/>
      <w:lvlText w:val="%7."/>
      <w:lvlJc w:val="left"/>
      <w:pPr>
        <w:ind w:left="-1030" w:hanging="420"/>
      </w:pPr>
    </w:lvl>
    <w:lvl w:ilvl="7" w:tentative="0">
      <w:start w:val="1"/>
      <w:numFmt w:val="lowerLetter"/>
      <w:lvlText w:val="%8)"/>
      <w:lvlJc w:val="left"/>
      <w:pPr>
        <w:ind w:left="-610" w:hanging="420"/>
      </w:pPr>
    </w:lvl>
    <w:lvl w:ilvl="8" w:tentative="0">
      <w:start w:val="1"/>
      <w:numFmt w:val="lowerRoman"/>
      <w:lvlText w:val="%9."/>
      <w:lvlJc w:val="right"/>
      <w:pPr>
        <w:ind w:left="-190" w:hanging="420"/>
      </w:pPr>
    </w:lvl>
  </w:abstractNum>
  <w:abstractNum w:abstractNumId="21">
    <w:nsid w:val="678B12D3"/>
    <w:multiLevelType w:val="multilevel"/>
    <w:tmpl w:val="678B12D3"/>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2">
    <w:nsid w:val="6E5D28C7"/>
    <w:multiLevelType w:val="multilevel"/>
    <w:tmpl w:val="6E5D28C7"/>
    <w:lvl w:ilvl="0" w:tentative="0">
      <w:start w:val="1"/>
      <w:numFmt w:val="chineseCountingThousand"/>
      <w:pStyle w:val="78"/>
      <w:lvlText w:val="第%1章"/>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71022CC9"/>
    <w:multiLevelType w:val="multilevel"/>
    <w:tmpl w:val="71022CC9"/>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4">
    <w:nsid w:val="727532D1"/>
    <w:multiLevelType w:val="multilevel"/>
    <w:tmpl w:val="727532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299190F"/>
    <w:multiLevelType w:val="multilevel"/>
    <w:tmpl w:val="7299190F"/>
    <w:lvl w:ilvl="0" w:tentative="0">
      <w:start w:val="1"/>
      <w:numFmt w:val="chineseCountingThousand"/>
      <w:pStyle w:val="92"/>
      <w:lvlText w:val="第%1条    "/>
      <w:lvlJc w:val="left"/>
      <w:pPr>
        <w:ind w:left="840" w:hanging="420"/>
      </w:pPr>
      <w:rPr>
        <w:rFonts w:hint="eastAsia"/>
        <w:lang w:val="en-US"/>
      </w:rPr>
    </w:lvl>
    <w:lvl w:ilvl="1" w:tentative="0">
      <w:start w:val="1"/>
      <w:numFmt w:val="japaneseCounting"/>
      <w:lvlText w:val="（%2）"/>
      <w:lvlJc w:val="left"/>
      <w:pPr>
        <w:ind w:left="1140" w:hanging="720"/>
      </w:pPr>
      <w:rPr>
        <w:rFonts w:hint="default"/>
      </w:r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D5C07BF"/>
    <w:multiLevelType w:val="multilevel"/>
    <w:tmpl w:val="7D5C07B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7F81480D"/>
    <w:multiLevelType w:val="multilevel"/>
    <w:tmpl w:val="7F81480D"/>
    <w:lvl w:ilvl="0" w:tentative="0">
      <w:start w:val="1"/>
      <w:numFmt w:val="chineseCountingThousand"/>
      <w:pStyle w:val="76"/>
      <w:lvlText w:val="第%1条 "/>
      <w:lvlJc w:val="left"/>
      <w:pPr>
        <w:ind w:left="1271" w:hanging="420"/>
      </w:pPr>
      <w:rPr>
        <w:rFonts w:hint="eastAsia"/>
        <w:lang w:val="en-US"/>
      </w:rPr>
    </w:lvl>
    <w:lvl w:ilvl="1" w:tentative="0">
      <w:start w:val="1"/>
      <w:numFmt w:val="lowerLetter"/>
      <w:lvlText w:val="%2)"/>
      <w:lvlJc w:val="left"/>
      <w:pPr>
        <w:ind w:left="1237" w:hanging="420"/>
      </w:pPr>
    </w:lvl>
    <w:lvl w:ilvl="2" w:tentative="0">
      <w:start w:val="1"/>
      <w:numFmt w:val="lowerRoman"/>
      <w:lvlText w:val="%3."/>
      <w:lvlJc w:val="right"/>
      <w:pPr>
        <w:ind w:left="1657" w:hanging="420"/>
      </w:pPr>
    </w:lvl>
    <w:lvl w:ilvl="3" w:tentative="0">
      <w:start w:val="1"/>
      <w:numFmt w:val="decimal"/>
      <w:lvlText w:val="%4."/>
      <w:lvlJc w:val="left"/>
      <w:pPr>
        <w:ind w:left="2077" w:hanging="420"/>
      </w:pPr>
    </w:lvl>
    <w:lvl w:ilvl="4" w:tentative="0">
      <w:start w:val="1"/>
      <w:numFmt w:val="lowerLetter"/>
      <w:lvlText w:val="%5)"/>
      <w:lvlJc w:val="left"/>
      <w:pPr>
        <w:ind w:left="2497" w:hanging="420"/>
      </w:pPr>
    </w:lvl>
    <w:lvl w:ilvl="5" w:tentative="0">
      <w:start w:val="1"/>
      <w:numFmt w:val="lowerRoman"/>
      <w:lvlText w:val="%6."/>
      <w:lvlJc w:val="right"/>
      <w:pPr>
        <w:ind w:left="2917" w:hanging="420"/>
      </w:pPr>
    </w:lvl>
    <w:lvl w:ilvl="6" w:tentative="0">
      <w:start w:val="1"/>
      <w:numFmt w:val="decimal"/>
      <w:lvlText w:val="%7."/>
      <w:lvlJc w:val="left"/>
      <w:pPr>
        <w:ind w:left="3337" w:hanging="420"/>
      </w:pPr>
    </w:lvl>
    <w:lvl w:ilvl="7" w:tentative="0">
      <w:start w:val="1"/>
      <w:numFmt w:val="lowerLetter"/>
      <w:lvlText w:val="%8)"/>
      <w:lvlJc w:val="left"/>
      <w:pPr>
        <w:ind w:left="3757" w:hanging="420"/>
      </w:pPr>
    </w:lvl>
    <w:lvl w:ilvl="8" w:tentative="0">
      <w:start w:val="1"/>
      <w:numFmt w:val="lowerRoman"/>
      <w:lvlText w:val="%9."/>
      <w:lvlJc w:val="right"/>
      <w:pPr>
        <w:ind w:left="4177" w:hanging="420"/>
      </w:pPr>
    </w:lvl>
  </w:abstractNum>
  <w:num w:numId="1">
    <w:abstractNumId w:val="5"/>
  </w:num>
  <w:num w:numId="2">
    <w:abstractNumId w:val="13"/>
  </w:num>
  <w:num w:numId="3">
    <w:abstractNumId w:val="9"/>
  </w:num>
  <w:num w:numId="4">
    <w:abstractNumId w:val="10"/>
  </w:num>
  <w:num w:numId="5">
    <w:abstractNumId w:val="20"/>
  </w:num>
  <w:num w:numId="6">
    <w:abstractNumId w:val="15"/>
  </w:num>
  <w:num w:numId="7">
    <w:abstractNumId w:val="0"/>
  </w:num>
  <w:num w:numId="8">
    <w:abstractNumId w:val="27"/>
  </w:num>
  <w:num w:numId="9">
    <w:abstractNumId w:val="22"/>
  </w:num>
  <w:num w:numId="10">
    <w:abstractNumId w:val="12"/>
  </w:num>
  <w:num w:numId="11">
    <w:abstractNumId w:val="19"/>
  </w:num>
  <w:num w:numId="12">
    <w:abstractNumId w:val="25"/>
  </w:num>
  <w:num w:numId="13">
    <w:abstractNumId w:val="3"/>
  </w:num>
  <w:num w:numId="14">
    <w:abstractNumId w:val="4"/>
  </w:num>
  <w:num w:numId="15">
    <w:abstractNumId w:val="24"/>
  </w:num>
  <w:num w:numId="16">
    <w:abstractNumId w:val="26"/>
  </w:num>
  <w:num w:numId="17">
    <w:abstractNumId w:val="6"/>
  </w:num>
  <w:num w:numId="18">
    <w:abstractNumId w:val="16"/>
  </w:num>
  <w:num w:numId="19">
    <w:abstractNumId w:val="11"/>
  </w:num>
  <w:num w:numId="20">
    <w:abstractNumId w:val="2"/>
  </w:num>
  <w:num w:numId="21">
    <w:abstractNumId w:val="18"/>
  </w:num>
  <w:num w:numId="22">
    <w:abstractNumId w:val="17"/>
  </w:num>
  <w:num w:numId="23">
    <w:abstractNumId w:val="12"/>
    <w:lvlOverride w:ilvl="0">
      <w:startOverride w:val="1"/>
    </w:lvlOverride>
  </w:num>
  <w:num w:numId="24">
    <w:abstractNumId w:val="7"/>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21"/>
  </w:num>
  <w:num w:numId="35">
    <w:abstractNumId w:val="8"/>
  </w:num>
  <w:num w:numId="36">
    <w:abstractNumId w:val="12"/>
    <w:lvlOverride w:ilvl="0">
      <w:startOverride w:val="1"/>
    </w:lvlOverride>
  </w:num>
  <w:num w:numId="37">
    <w:abstractNumId w:val="23"/>
  </w:num>
  <w:num w:numId="38">
    <w:abstractNumId w:val="12"/>
    <w:lvlOverride w:ilvl="0">
      <w:startOverride w:val="1"/>
    </w:lvlOverride>
  </w:num>
  <w:num w:numId="39">
    <w:abstractNumId w:val="14"/>
  </w:num>
  <w:num w:numId="40">
    <w:abstractNumId w:val="12"/>
    <w:lvlOverride w:ilvl="0">
      <w:startOverride w:val="1"/>
    </w:lvlOverride>
  </w:num>
  <w:num w:numId="41">
    <w:abstractNumId w:val="12"/>
    <w:lvlOverride w:ilvl="0">
      <w:startOverride w:val="1"/>
    </w:lvlOverride>
  </w:num>
  <w:num w:numId="42">
    <w:abstractNumId w:val="12"/>
    <w:lvlOverride w:ilvl="0">
      <w:startOverride w:val="1"/>
    </w:lvlOverride>
  </w:num>
  <w:num w:numId="43">
    <w:abstractNumId w:val="1"/>
  </w:num>
  <w:num w:numId="44">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4CC"/>
    <w:rsid w:val="00002AC9"/>
    <w:rsid w:val="00004451"/>
    <w:rsid w:val="00004509"/>
    <w:rsid w:val="00010681"/>
    <w:rsid w:val="00014D2A"/>
    <w:rsid w:val="000157BA"/>
    <w:rsid w:val="00020450"/>
    <w:rsid w:val="00033B81"/>
    <w:rsid w:val="00035B02"/>
    <w:rsid w:val="00041270"/>
    <w:rsid w:val="00044A93"/>
    <w:rsid w:val="00045282"/>
    <w:rsid w:val="000618DB"/>
    <w:rsid w:val="00065180"/>
    <w:rsid w:val="00065E8C"/>
    <w:rsid w:val="00066BDE"/>
    <w:rsid w:val="0007483E"/>
    <w:rsid w:val="00077993"/>
    <w:rsid w:val="000832B9"/>
    <w:rsid w:val="000867E3"/>
    <w:rsid w:val="0009299A"/>
    <w:rsid w:val="00092E61"/>
    <w:rsid w:val="00095B1C"/>
    <w:rsid w:val="000A67E2"/>
    <w:rsid w:val="000B192D"/>
    <w:rsid w:val="000B5064"/>
    <w:rsid w:val="000B7505"/>
    <w:rsid w:val="000C6962"/>
    <w:rsid w:val="000D68DB"/>
    <w:rsid w:val="000E2148"/>
    <w:rsid w:val="000E6EDF"/>
    <w:rsid w:val="000F1F52"/>
    <w:rsid w:val="000F5BC8"/>
    <w:rsid w:val="000F6CBC"/>
    <w:rsid w:val="00100947"/>
    <w:rsid w:val="001011EA"/>
    <w:rsid w:val="001025BB"/>
    <w:rsid w:val="001031C1"/>
    <w:rsid w:val="00111126"/>
    <w:rsid w:val="001146E1"/>
    <w:rsid w:val="001241A0"/>
    <w:rsid w:val="00125B90"/>
    <w:rsid w:val="00126CEF"/>
    <w:rsid w:val="00130FCF"/>
    <w:rsid w:val="001369AD"/>
    <w:rsid w:val="00142AE5"/>
    <w:rsid w:val="0014531B"/>
    <w:rsid w:val="00152A43"/>
    <w:rsid w:val="001574BC"/>
    <w:rsid w:val="00163BB7"/>
    <w:rsid w:val="00165ED6"/>
    <w:rsid w:val="00174002"/>
    <w:rsid w:val="00175006"/>
    <w:rsid w:val="001759CB"/>
    <w:rsid w:val="00180A84"/>
    <w:rsid w:val="00181944"/>
    <w:rsid w:val="00182729"/>
    <w:rsid w:val="00182B29"/>
    <w:rsid w:val="00190A1D"/>
    <w:rsid w:val="00195351"/>
    <w:rsid w:val="00196F12"/>
    <w:rsid w:val="001A1561"/>
    <w:rsid w:val="001A352D"/>
    <w:rsid w:val="001B623D"/>
    <w:rsid w:val="001B63A7"/>
    <w:rsid w:val="001D017A"/>
    <w:rsid w:val="001F31F0"/>
    <w:rsid w:val="00201B48"/>
    <w:rsid w:val="00202588"/>
    <w:rsid w:val="00204DB7"/>
    <w:rsid w:val="00213952"/>
    <w:rsid w:val="00214B0C"/>
    <w:rsid w:val="00214C71"/>
    <w:rsid w:val="00217012"/>
    <w:rsid w:val="002217EF"/>
    <w:rsid w:val="00225EC6"/>
    <w:rsid w:val="002310F7"/>
    <w:rsid w:val="00235C25"/>
    <w:rsid w:val="00236F24"/>
    <w:rsid w:val="00244C63"/>
    <w:rsid w:val="00250CFC"/>
    <w:rsid w:val="00256B5C"/>
    <w:rsid w:val="002628FD"/>
    <w:rsid w:val="00263565"/>
    <w:rsid w:val="00264019"/>
    <w:rsid w:val="00265E11"/>
    <w:rsid w:val="00271710"/>
    <w:rsid w:val="00272AAB"/>
    <w:rsid w:val="002743CD"/>
    <w:rsid w:val="002745B1"/>
    <w:rsid w:val="00274A66"/>
    <w:rsid w:val="00280BA4"/>
    <w:rsid w:val="0028152A"/>
    <w:rsid w:val="00291982"/>
    <w:rsid w:val="002940E3"/>
    <w:rsid w:val="00297B9F"/>
    <w:rsid w:val="002B183A"/>
    <w:rsid w:val="002B6595"/>
    <w:rsid w:val="002C1A0D"/>
    <w:rsid w:val="002C55FB"/>
    <w:rsid w:val="002C7EC8"/>
    <w:rsid w:val="002D76B5"/>
    <w:rsid w:val="002E1C36"/>
    <w:rsid w:val="002E3E17"/>
    <w:rsid w:val="002F3E4B"/>
    <w:rsid w:val="002F4CB0"/>
    <w:rsid w:val="002F7CDA"/>
    <w:rsid w:val="0030515B"/>
    <w:rsid w:val="003103CE"/>
    <w:rsid w:val="0031201C"/>
    <w:rsid w:val="003137A5"/>
    <w:rsid w:val="00324139"/>
    <w:rsid w:val="0032490D"/>
    <w:rsid w:val="00326F48"/>
    <w:rsid w:val="003358A4"/>
    <w:rsid w:val="00344A34"/>
    <w:rsid w:val="00345637"/>
    <w:rsid w:val="00346BD2"/>
    <w:rsid w:val="003544C0"/>
    <w:rsid w:val="003553E8"/>
    <w:rsid w:val="00356D1B"/>
    <w:rsid w:val="0036491B"/>
    <w:rsid w:val="003725CB"/>
    <w:rsid w:val="003733A5"/>
    <w:rsid w:val="003910CE"/>
    <w:rsid w:val="00393BEB"/>
    <w:rsid w:val="003947C3"/>
    <w:rsid w:val="003A604D"/>
    <w:rsid w:val="003B2BD4"/>
    <w:rsid w:val="003B4060"/>
    <w:rsid w:val="003B4CBC"/>
    <w:rsid w:val="003D253C"/>
    <w:rsid w:val="003D4A6F"/>
    <w:rsid w:val="003D6AEB"/>
    <w:rsid w:val="003D74A7"/>
    <w:rsid w:val="003E14E4"/>
    <w:rsid w:val="003E37F8"/>
    <w:rsid w:val="003E4AE6"/>
    <w:rsid w:val="003F28D5"/>
    <w:rsid w:val="003F3071"/>
    <w:rsid w:val="003F3187"/>
    <w:rsid w:val="003F3A5B"/>
    <w:rsid w:val="004078F4"/>
    <w:rsid w:val="00410AB5"/>
    <w:rsid w:val="004126B3"/>
    <w:rsid w:val="004271CB"/>
    <w:rsid w:val="004406A9"/>
    <w:rsid w:val="00456F3B"/>
    <w:rsid w:val="00462E83"/>
    <w:rsid w:val="00464F1A"/>
    <w:rsid w:val="00474406"/>
    <w:rsid w:val="00483CA3"/>
    <w:rsid w:val="004855F6"/>
    <w:rsid w:val="00485D34"/>
    <w:rsid w:val="00485DC9"/>
    <w:rsid w:val="00492E5B"/>
    <w:rsid w:val="004A157D"/>
    <w:rsid w:val="004A698E"/>
    <w:rsid w:val="004B5C9E"/>
    <w:rsid w:val="004C1145"/>
    <w:rsid w:val="004C3FF4"/>
    <w:rsid w:val="004C5292"/>
    <w:rsid w:val="004C5EBA"/>
    <w:rsid w:val="004C7C54"/>
    <w:rsid w:val="004D169B"/>
    <w:rsid w:val="004E1ABB"/>
    <w:rsid w:val="004F04F6"/>
    <w:rsid w:val="004F1BEA"/>
    <w:rsid w:val="004F1D61"/>
    <w:rsid w:val="004F644B"/>
    <w:rsid w:val="004F6734"/>
    <w:rsid w:val="00500ACB"/>
    <w:rsid w:val="0051565E"/>
    <w:rsid w:val="005178A3"/>
    <w:rsid w:val="00520E6A"/>
    <w:rsid w:val="005272AD"/>
    <w:rsid w:val="0053249C"/>
    <w:rsid w:val="0053367E"/>
    <w:rsid w:val="0054212C"/>
    <w:rsid w:val="00543D21"/>
    <w:rsid w:val="00546AC9"/>
    <w:rsid w:val="00552A47"/>
    <w:rsid w:val="00561D37"/>
    <w:rsid w:val="00562DA3"/>
    <w:rsid w:val="00570E32"/>
    <w:rsid w:val="005714EF"/>
    <w:rsid w:val="00573B11"/>
    <w:rsid w:val="00573F41"/>
    <w:rsid w:val="00596E0C"/>
    <w:rsid w:val="005A3F28"/>
    <w:rsid w:val="005A768F"/>
    <w:rsid w:val="005C322B"/>
    <w:rsid w:val="005C43BF"/>
    <w:rsid w:val="005C79DB"/>
    <w:rsid w:val="005C7F23"/>
    <w:rsid w:val="005D7B52"/>
    <w:rsid w:val="005E241D"/>
    <w:rsid w:val="00600527"/>
    <w:rsid w:val="0060685C"/>
    <w:rsid w:val="0061006C"/>
    <w:rsid w:val="006118FF"/>
    <w:rsid w:val="00612464"/>
    <w:rsid w:val="0061369D"/>
    <w:rsid w:val="006254BD"/>
    <w:rsid w:val="00631936"/>
    <w:rsid w:val="00633C82"/>
    <w:rsid w:val="00634A1F"/>
    <w:rsid w:val="00634D48"/>
    <w:rsid w:val="0063567B"/>
    <w:rsid w:val="0064180B"/>
    <w:rsid w:val="00643E30"/>
    <w:rsid w:val="00645929"/>
    <w:rsid w:val="00646ED0"/>
    <w:rsid w:val="006544AC"/>
    <w:rsid w:val="006623D7"/>
    <w:rsid w:val="00662F2C"/>
    <w:rsid w:val="0066592B"/>
    <w:rsid w:val="00675CBA"/>
    <w:rsid w:val="00676245"/>
    <w:rsid w:val="00682884"/>
    <w:rsid w:val="0069373A"/>
    <w:rsid w:val="006A7305"/>
    <w:rsid w:val="006C4AAC"/>
    <w:rsid w:val="006C717E"/>
    <w:rsid w:val="006D282A"/>
    <w:rsid w:val="006E17B4"/>
    <w:rsid w:val="006E61CA"/>
    <w:rsid w:val="006F37E0"/>
    <w:rsid w:val="00700B22"/>
    <w:rsid w:val="0070670E"/>
    <w:rsid w:val="007068C1"/>
    <w:rsid w:val="00711A23"/>
    <w:rsid w:val="0071499D"/>
    <w:rsid w:val="00724572"/>
    <w:rsid w:val="00733A72"/>
    <w:rsid w:val="00736FC4"/>
    <w:rsid w:val="007419FF"/>
    <w:rsid w:val="00743760"/>
    <w:rsid w:val="00743947"/>
    <w:rsid w:val="00747865"/>
    <w:rsid w:val="00752EB2"/>
    <w:rsid w:val="007632B2"/>
    <w:rsid w:val="00764820"/>
    <w:rsid w:val="00775440"/>
    <w:rsid w:val="007837B8"/>
    <w:rsid w:val="0078597F"/>
    <w:rsid w:val="00786510"/>
    <w:rsid w:val="00791A62"/>
    <w:rsid w:val="00792C79"/>
    <w:rsid w:val="0079410C"/>
    <w:rsid w:val="00796022"/>
    <w:rsid w:val="007A1CD0"/>
    <w:rsid w:val="007A62F0"/>
    <w:rsid w:val="007B360D"/>
    <w:rsid w:val="007B6A23"/>
    <w:rsid w:val="007C3ACA"/>
    <w:rsid w:val="007C5198"/>
    <w:rsid w:val="007D2D9D"/>
    <w:rsid w:val="007D34BB"/>
    <w:rsid w:val="007D3B56"/>
    <w:rsid w:val="007D7E16"/>
    <w:rsid w:val="007E0B6C"/>
    <w:rsid w:val="007E0F61"/>
    <w:rsid w:val="007E2F64"/>
    <w:rsid w:val="007E5B3D"/>
    <w:rsid w:val="007F2247"/>
    <w:rsid w:val="007F5972"/>
    <w:rsid w:val="008025C6"/>
    <w:rsid w:val="008058E6"/>
    <w:rsid w:val="00805BEA"/>
    <w:rsid w:val="0081366D"/>
    <w:rsid w:val="00815A53"/>
    <w:rsid w:val="008250C8"/>
    <w:rsid w:val="00826EFA"/>
    <w:rsid w:val="00836D44"/>
    <w:rsid w:val="008409E9"/>
    <w:rsid w:val="0084104C"/>
    <w:rsid w:val="008452A5"/>
    <w:rsid w:val="00845969"/>
    <w:rsid w:val="008513A9"/>
    <w:rsid w:val="00857B85"/>
    <w:rsid w:val="00862CD8"/>
    <w:rsid w:val="00865DF5"/>
    <w:rsid w:val="00866651"/>
    <w:rsid w:val="008672AA"/>
    <w:rsid w:val="00867D42"/>
    <w:rsid w:val="00873BF0"/>
    <w:rsid w:val="00880C0E"/>
    <w:rsid w:val="00882795"/>
    <w:rsid w:val="008842DD"/>
    <w:rsid w:val="00886527"/>
    <w:rsid w:val="00886855"/>
    <w:rsid w:val="0088689F"/>
    <w:rsid w:val="008878E1"/>
    <w:rsid w:val="00892E26"/>
    <w:rsid w:val="00894656"/>
    <w:rsid w:val="008A70C6"/>
    <w:rsid w:val="008B269E"/>
    <w:rsid w:val="008C291F"/>
    <w:rsid w:val="008C727F"/>
    <w:rsid w:val="008D2B70"/>
    <w:rsid w:val="008D2DAD"/>
    <w:rsid w:val="008D44D9"/>
    <w:rsid w:val="008E3963"/>
    <w:rsid w:val="008F1439"/>
    <w:rsid w:val="008F4FF0"/>
    <w:rsid w:val="008F6E27"/>
    <w:rsid w:val="008F7EB1"/>
    <w:rsid w:val="009016CB"/>
    <w:rsid w:val="00902617"/>
    <w:rsid w:val="0091487B"/>
    <w:rsid w:val="00915A5D"/>
    <w:rsid w:val="00916340"/>
    <w:rsid w:val="0092714F"/>
    <w:rsid w:val="00932161"/>
    <w:rsid w:val="00933646"/>
    <w:rsid w:val="00944754"/>
    <w:rsid w:val="009454AD"/>
    <w:rsid w:val="00950165"/>
    <w:rsid w:val="00950915"/>
    <w:rsid w:val="00950FE9"/>
    <w:rsid w:val="0095359F"/>
    <w:rsid w:val="00953821"/>
    <w:rsid w:val="00954A6B"/>
    <w:rsid w:val="00955A20"/>
    <w:rsid w:val="009631B7"/>
    <w:rsid w:val="0096668F"/>
    <w:rsid w:val="009737F4"/>
    <w:rsid w:val="00974CEF"/>
    <w:rsid w:val="00977F61"/>
    <w:rsid w:val="00981E91"/>
    <w:rsid w:val="00983789"/>
    <w:rsid w:val="00991080"/>
    <w:rsid w:val="00992B6C"/>
    <w:rsid w:val="009A142F"/>
    <w:rsid w:val="009A2280"/>
    <w:rsid w:val="009B1EBF"/>
    <w:rsid w:val="009B66C4"/>
    <w:rsid w:val="009B7F91"/>
    <w:rsid w:val="009C13E1"/>
    <w:rsid w:val="009C3629"/>
    <w:rsid w:val="009C64F0"/>
    <w:rsid w:val="009D003B"/>
    <w:rsid w:val="009D4811"/>
    <w:rsid w:val="009E3594"/>
    <w:rsid w:val="009F3A9C"/>
    <w:rsid w:val="009F49E1"/>
    <w:rsid w:val="00A04C52"/>
    <w:rsid w:val="00A051A1"/>
    <w:rsid w:val="00A068B3"/>
    <w:rsid w:val="00A11C85"/>
    <w:rsid w:val="00A2016E"/>
    <w:rsid w:val="00A32F60"/>
    <w:rsid w:val="00A408D9"/>
    <w:rsid w:val="00A4453B"/>
    <w:rsid w:val="00A531D7"/>
    <w:rsid w:val="00A53557"/>
    <w:rsid w:val="00A626AB"/>
    <w:rsid w:val="00A728EA"/>
    <w:rsid w:val="00A73910"/>
    <w:rsid w:val="00A751C3"/>
    <w:rsid w:val="00A80A8A"/>
    <w:rsid w:val="00A80FE0"/>
    <w:rsid w:val="00A82F7E"/>
    <w:rsid w:val="00A8652F"/>
    <w:rsid w:val="00A87524"/>
    <w:rsid w:val="00A91A82"/>
    <w:rsid w:val="00A91C8B"/>
    <w:rsid w:val="00A921C1"/>
    <w:rsid w:val="00A979E2"/>
    <w:rsid w:val="00AB7BCD"/>
    <w:rsid w:val="00AC0EC8"/>
    <w:rsid w:val="00AC4CEB"/>
    <w:rsid w:val="00AC4FA5"/>
    <w:rsid w:val="00AC72C2"/>
    <w:rsid w:val="00AD4E49"/>
    <w:rsid w:val="00AD5909"/>
    <w:rsid w:val="00AE2278"/>
    <w:rsid w:val="00AE37D8"/>
    <w:rsid w:val="00AE41FF"/>
    <w:rsid w:val="00AF5EFC"/>
    <w:rsid w:val="00AF5F84"/>
    <w:rsid w:val="00AF665A"/>
    <w:rsid w:val="00AF7FA0"/>
    <w:rsid w:val="00B004E1"/>
    <w:rsid w:val="00B029D0"/>
    <w:rsid w:val="00B144CD"/>
    <w:rsid w:val="00B16F62"/>
    <w:rsid w:val="00B45DA2"/>
    <w:rsid w:val="00B53955"/>
    <w:rsid w:val="00B53F27"/>
    <w:rsid w:val="00B565D3"/>
    <w:rsid w:val="00B57DDB"/>
    <w:rsid w:val="00B6133A"/>
    <w:rsid w:val="00B62977"/>
    <w:rsid w:val="00B62D20"/>
    <w:rsid w:val="00B729EC"/>
    <w:rsid w:val="00B76FF6"/>
    <w:rsid w:val="00B80440"/>
    <w:rsid w:val="00B80B7F"/>
    <w:rsid w:val="00B822FF"/>
    <w:rsid w:val="00B829AD"/>
    <w:rsid w:val="00B83168"/>
    <w:rsid w:val="00B83CDA"/>
    <w:rsid w:val="00B86189"/>
    <w:rsid w:val="00B86C0E"/>
    <w:rsid w:val="00B93B77"/>
    <w:rsid w:val="00B97C34"/>
    <w:rsid w:val="00BA47EF"/>
    <w:rsid w:val="00BA4CAD"/>
    <w:rsid w:val="00BA4DA6"/>
    <w:rsid w:val="00BA6FDB"/>
    <w:rsid w:val="00BA7ABB"/>
    <w:rsid w:val="00BB00AC"/>
    <w:rsid w:val="00BB17D3"/>
    <w:rsid w:val="00BB5F95"/>
    <w:rsid w:val="00BC0001"/>
    <w:rsid w:val="00BC022F"/>
    <w:rsid w:val="00BC2159"/>
    <w:rsid w:val="00BE6400"/>
    <w:rsid w:val="00BF159C"/>
    <w:rsid w:val="00BF4367"/>
    <w:rsid w:val="00BF6C24"/>
    <w:rsid w:val="00BF7E38"/>
    <w:rsid w:val="00C0332F"/>
    <w:rsid w:val="00C03B3C"/>
    <w:rsid w:val="00C072C2"/>
    <w:rsid w:val="00C200B8"/>
    <w:rsid w:val="00C31891"/>
    <w:rsid w:val="00C31964"/>
    <w:rsid w:val="00C320F4"/>
    <w:rsid w:val="00C3219B"/>
    <w:rsid w:val="00C33E1A"/>
    <w:rsid w:val="00C40942"/>
    <w:rsid w:val="00C40FC7"/>
    <w:rsid w:val="00C461CD"/>
    <w:rsid w:val="00C524CC"/>
    <w:rsid w:val="00C570DB"/>
    <w:rsid w:val="00C659CF"/>
    <w:rsid w:val="00C72F82"/>
    <w:rsid w:val="00C74ABA"/>
    <w:rsid w:val="00C8071C"/>
    <w:rsid w:val="00C8513E"/>
    <w:rsid w:val="00C86C24"/>
    <w:rsid w:val="00C952FB"/>
    <w:rsid w:val="00CA4C9C"/>
    <w:rsid w:val="00CA6345"/>
    <w:rsid w:val="00CB66DF"/>
    <w:rsid w:val="00CB7691"/>
    <w:rsid w:val="00CC3F84"/>
    <w:rsid w:val="00CD1B06"/>
    <w:rsid w:val="00CE1F6D"/>
    <w:rsid w:val="00CE3A2F"/>
    <w:rsid w:val="00CE54C1"/>
    <w:rsid w:val="00CF0155"/>
    <w:rsid w:val="00CF194A"/>
    <w:rsid w:val="00D005CB"/>
    <w:rsid w:val="00D038CF"/>
    <w:rsid w:val="00D10D91"/>
    <w:rsid w:val="00D17FA3"/>
    <w:rsid w:val="00D215BD"/>
    <w:rsid w:val="00D22F84"/>
    <w:rsid w:val="00D31560"/>
    <w:rsid w:val="00D32B99"/>
    <w:rsid w:val="00D41F12"/>
    <w:rsid w:val="00D431F7"/>
    <w:rsid w:val="00D463B5"/>
    <w:rsid w:val="00D46C74"/>
    <w:rsid w:val="00D71E28"/>
    <w:rsid w:val="00D73B8D"/>
    <w:rsid w:val="00D77579"/>
    <w:rsid w:val="00D806EB"/>
    <w:rsid w:val="00D82ACD"/>
    <w:rsid w:val="00D84E6C"/>
    <w:rsid w:val="00D86B2D"/>
    <w:rsid w:val="00DA080A"/>
    <w:rsid w:val="00DA13B6"/>
    <w:rsid w:val="00DA6F97"/>
    <w:rsid w:val="00DA6FD8"/>
    <w:rsid w:val="00DB406D"/>
    <w:rsid w:val="00DB5428"/>
    <w:rsid w:val="00DB693C"/>
    <w:rsid w:val="00DC705F"/>
    <w:rsid w:val="00DD4D16"/>
    <w:rsid w:val="00DD7E74"/>
    <w:rsid w:val="00DE2303"/>
    <w:rsid w:val="00DE5CED"/>
    <w:rsid w:val="00DF6AB1"/>
    <w:rsid w:val="00DF789A"/>
    <w:rsid w:val="00E034D8"/>
    <w:rsid w:val="00E200B1"/>
    <w:rsid w:val="00E20710"/>
    <w:rsid w:val="00E25DF8"/>
    <w:rsid w:val="00E269AD"/>
    <w:rsid w:val="00E31EC2"/>
    <w:rsid w:val="00E41D2A"/>
    <w:rsid w:val="00E44291"/>
    <w:rsid w:val="00E44B8C"/>
    <w:rsid w:val="00E4624A"/>
    <w:rsid w:val="00E506E6"/>
    <w:rsid w:val="00E52E99"/>
    <w:rsid w:val="00E559B9"/>
    <w:rsid w:val="00E643FE"/>
    <w:rsid w:val="00E9024D"/>
    <w:rsid w:val="00EA4E5B"/>
    <w:rsid w:val="00EB1BE8"/>
    <w:rsid w:val="00EB4F6F"/>
    <w:rsid w:val="00EB7732"/>
    <w:rsid w:val="00EC06CB"/>
    <w:rsid w:val="00EC08B8"/>
    <w:rsid w:val="00EC113C"/>
    <w:rsid w:val="00ED5B1A"/>
    <w:rsid w:val="00EE0B51"/>
    <w:rsid w:val="00EE7F39"/>
    <w:rsid w:val="00EF1EC9"/>
    <w:rsid w:val="00EF2865"/>
    <w:rsid w:val="00EF3579"/>
    <w:rsid w:val="00F079ED"/>
    <w:rsid w:val="00F1016E"/>
    <w:rsid w:val="00F12CD7"/>
    <w:rsid w:val="00F2213A"/>
    <w:rsid w:val="00F24614"/>
    <w:rsid w:val="00F27720"/>
    <w:rsid w:val="00F27C8F"/>
    <w:rsid w:val="00F35611"/>
    <w:rsid w:val="00F45559"/>
    <w:rsid w:val="00F64714"/>
    <w:rsid w:val="00F72BB2"/>
    <w:rsid w:val="00F807DC"/>
    <w:rsid w:val="00F81917"/>
    <w:rsid w:val="00FA36A5"/>
    <w:rsid w:val="00FA420E"/>
    <w:rsid w:val="00FA4895"/>
    <w:rsid w:val="00FA5548"/>
    <w:rsid w:val="00FA5629"/>
    <w:rsid w:val="00FB0886"/>
    <w:rsid w:val="00FB1623"/>
    <w:rsid w:val="00FB4676"/>
    <w:rsid w:val="00FC1E89"/>
    <w:rsid w:val="00FC55C8"/>
    <w:rsid w:val="00FD2134"/>
    <w:rsid w:val="00FE41E0"/>
    <w:rsid w:val="00FF368D"/>
    <w:rsid w:val="00FF5D83"/>
    <w:rsid w:val="56BB0A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unhideWhenUsed="0" w:uiPriority="9" w:semiHidden="0" w:name="heading 6"/>
    <w:lsdException w:uiPriority="9" w:semiHidden="0" w:name="heading 7"/>
    <w:lsdException w:uiPriority="9" w:semiHidden="0" w:name="heading 8"/>
    <w:lsdException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99"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0" w:semiHidden="0" w:name="Emphasis"/>
    <w:lsdException w:uiPriority="0" w:semiHidden="0"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36" w:lineRule="auto"/>
      <w:ind w:firstLine="200" w:firstLineChars="200"/>
      <w:jc w:val="both"/>
    </w:pPr>
    <w:rPr>
      <w:rFonts w:ascii="Times New Roman" w:hAnsi="Times New Roman" w:cs="Times New Roman" w:eastAsiaTheme="minorEastAsia"/>
      <w:kern w:val="2"/>
      <w:sz w:val="24"/>
      <w:szCs w:val="24"/>
      <w:lang w:val="en-US" w:eastAsia="zh-CN" w:bidi="ar-SA"/>
    </w:rPr>
  </w:style>
  <w:style w:type="paragraph" w:styleId="2">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6"/>
    <w:uiPriority w:val="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47"/>
    <w:qFormat/>
    <w:uiPriority w:val="9"/>
    <w:pPr>
      <w:keepNext/>
      <w:keepLines/>
      <w:numPr>
        <w:ilvl w:val="0"/>
        <w:numId w:val="1"/>
      </w:numPr>
      <w:spacing w:before="260" w:after="260" w:line="415" w:lineRule="auto"/>
      <w:outlineLvl w:val="2"/>
    </w:pPr>
    <w:rPr>
      <w:b/>
      <w:bCs/>
      <w:sz w:val="32"/>
      <w:szCs w:val="32"/>
    </w:rPr>
  </w:style>
  <w:style w:type="paragraph" w:styleId="5">
    <w:name w:val="heading 4"/>
    <w:basedOn w:val="1"/>
    <w:next w:val="1"/>
    <w:link w:val="48"/>
    <w:unhideWhenUsed/>
    <w:qFormat/>
    <w:uiPriority w:val="9"/>
    <w:pPr>
      <w:keepNext/>
      <w:keepLines/>
      <w:numPr>
        <w:ilvl w:val="0"/>
        <w:numId w:val="2"/>
      </w:numPr>
      <w:spacing w:before="280" w:after="290" w:line="376" w:lineRule="auto"/>
      <w:ind w:left="0" w:firstLine="0"/>
      <w:outlineLvl w:val="3"/>
    </w:pPr>
    <w:rPr>
      <w:rFonts w:ascii="Calibri Light" w:hAnsi="Calibri Light"/>
      <w:b/>
      <w:bCs/>
      <w:sz w:val="28"/>
      <w:szCs w:val="28"/>
    </w:rPr>
  </w:style>
  <w:style w:type="paragraph" w:styleId="6">
    <w:name w:val="heading 5"/>
    <w:basedOn w:val="1"/>
    <w:next w:val="1"/>
    <w:link w:val="49"/>
    <w:unhideWhenUsed/>
    <w:qFormat/>
    <w:uiPriority w:val="9"/>
    <w:pPr>
      <w:keepNext/>
      <w:keepLines/>
      <w:numPr>
        <w:ilvl w:val="0"/>
        <w:numId w:val="3"/>
      </w:numPr>
      <w:spacing w:before="120" w:after="100" w:afterAutospacing="1" w:line="240" w:lineRule="auto"/>
      <w:ind w:firstLine="0" w:firstLineChars="0"/>
      <w:outlineLvl w:val="4"/>
    </w:pPr>
    <w:rPr>
      <w:b/>
      <w:bCs/>
      <w:szCs w:val="28"/>
    </w:rPr>
  </w:style>
  <w:style w:type="paragraph" w:styleId="7">
    <w:name w:val="heading 6"/>
    <w:basedOn w:val="1"/>
    <w:next w:val="8"/>
    <w:link w:val="50"/>
    <w:uiPriority w:val="9"/>
    <w:pPr>
      <w:keepNext/>
      <w:keepLines/>
      <w:numPr>
        <w:ilvl w:val="0"/>
        <w:numId w:val="4"/>
      </w:numPr>
      <w:tabs>
        <w:tab w:val="left" w:pos="-971"/>
      </w:tabs>
      <w:spacing w:beforeLines="50" w:line="360" w:lineRule="auto"/>
      <w:outlineLvl w:val="5"/>
    </w:pPr>
    <w:rPr>
      <w:rFonts w:ascii="Arial" w:hAnsi="Arial"/>
      <w:b/>
      <w:kern w:val="0"/>
      <w:szCs w:val="20"/>
    </w:rPr>
  </w:style>
  <w:style w:type="paragraph" w:styleId="9">
    <w:name w:val="heading 7"/>
    <w:basedOn w:val="1"/>
    <w:next w:val="1"/>
    <w:link w:val="51"/>
    <w:unhideWhenUsed/>
    <w:uiPriority w:val="9"/>
    <w:pPr>
      <w:keepNext/>
      <w:keepLines/>
      <w:numPr>
        <w:ilvl w:val="0"/>
        <w:numId w:val="5"/>
      </w:numPr>
      <w:spacing w:before="120" w:after="120"/>
      <w:outlineLvl w:val="6"/>
    </w:pPr>
    <w:rPr>
      <w:rFonts w:eastAsia="黑体"/>
      <w:b/>
      <w:bCs/>
      <w:sz w:val="28"/>
    </w:rPr>
  </w:style>
  <w:style w:type="paragraph" w:styleId="10">
    <w:name w:val="heading 8"/>
    <w:basedOn w:val="1"/>
    <w:next w:val="1"/>
    <w:link w:val="52"/>
    <w:unhideWhenUsed/>
    <w:uiPriority w:val="9"/>
    <w:pPr>
      <w:keepNext/>
      <w:keepLines/>
      <w:numPr>
        <w:ilvl w:val="0"/>
        <w:numId w:val="6"/>
      </w:numPr>
      <w:spacing w:before="60" w:after="60"/>
      <w:outlineLvl w:val="7"/>
    </w:pPr>
    <w:rPr>
      <w:rFonts w:ascii="Calibri Light" w:hAnsi="Calibri Light"/>
    </w:rPr>
  </w:style>
  <w:style w:type="paragraph" w:styleId="11">
    <w:name w:val="heading 9"/>
    <w:basedOn w:val="1"/>
    <w:next w:val="1"/>
    <w:link w:val="53"/>
    <w:uiPriority w:val="9"/>
    <w:pPr>
      <w:keepNext/>
      <w:keepLines/>
      <w:spacing w:before="240" w:after="64" w:line="320" w:lineRule="auto"/>
      <w:outlineLvl w:val="8"/>
    </w:pPr>
    <w:rPr>
      <w:rFonts w:ascii="Arial" w:hAnsi="Arial" w:eastAsia="黑体"/>
      <w:szCs w:val="21"/>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8">
    <w:name w:val="Normal Indent"/>
    <w:basedOn w:val="1"/>
    <w:link w:val="54"/>
    <w:uiPriority w:val="0"/>
    <w:rPr>
      <w:rFonts w:cstheme="minorBidi"/>
    </w:rPr>
  </w:style>
  <w:style w:type="paragraph" w:styleId="12">
    <w:name w:val="toc 7"/>
    <w:basedOn w:val="1"/>
    <w:next w:val="1"/>
    <w:uiPriority w:val="39"/>
    <w:pPr>
      <w:ind w:left="1440"/>
      <w:jc w:val="left"/>
    </w:pPr>
    <w:rPr>
      <w:rFonts w:asciiTheme="minorHAnsi" w:hAnsiTheme="minorHAnsi"/>
      <w:sz w:val="18"/>
      <w:szCs w:val="18"/>
    </w:rPr>
  </w:style>
  <w:style w:type="paragraph" w:styleId="13">
    <w:name w:val="caption"/>
    <w:basedOn w:val="1"/>
    <w:next w:val="1"/>
    <w:unhideWhenUsed/>
    <w:qFormat/>
    <w:uiPriority w:val="0"/>
    <w:pPr>
      <w:spacing w:line="312" w:lineRule="auto"/>
    </w:pPr>
    <w:rPr>
      <w:rFonts w:ascii="Calibri Light" w:hAnsi="Calibri Light" w:eastAsia="黑体"/>
      <w:sz w:val="20"/>
      <w:szCs w:val="20"/>
    </w:rPr>
  </w:style>
  <w:style w:type="paragraph" w:styleId="14">
    <w:name w:val="List Bullet"/>
    <w:basedOn w:val="1"/>
    <w:unhideWhenUsed/>
    <w:uiPriority w:val="99"/>
    <w:pPr>
      <w:numPr>
        <w:ilvl w:val="0"/>
        <w:numId w:val="7"/>
      </w:numPr>
      <w:contextualSpacing/>
    </w:pPr>
  </w:style>
  <w:style w:type="paragraph" w:styleId="15">
    <w:name w:val="Document Map"/>
    <w:basedOn w:val="1"/>
    <w:link w:val="91"/>
    <w:unhideWhenUsed/>
    <w:uiPriority w:val="0"/>
    <w:rPr>
      <w:rFonts w:ascii="宋体"/>
      <w:sz w:val="18"/>
      <w:szCs w:val="18"/>
    </w:rPr>
  </w:style>
  <w:style w:type="paragraph" w:styleId="16">
    <w:name w:val="annotation text"/>
    <w:basedOn w:val="1"/>
    <w:link w:val="87"/>
    <w:uiPriority w:val="0"/>
    <w:pPr>
      <w:widowControl/>
      <w:adjustRightInd/>
      <w:snapToGrid/>
      <w:spacing w:after="200" w:line="240" w:lineRule="auto"/>
      <w:ind w:firstLine="0" w:firstLineChars="0"/>
      <w:jc w:val="left"/>
    </w:pPr>
    <w:rPr>
      <w:rFonts w:ascii="Cambria" w:hAnsi="Cambria" w:eastAsia="MS Mincho"/>
      <w:kern w:val="0"/>
      <w:lang w:eastAsia="ja-JP"/>
    </w:rPr>
  </w:style>
  <w:style w:type="paragraph" w:styleId="17">
    <w:name w:val="Body Text Indent"/>
    <w:basedOn w:val="1"/>
    <w:link w:val="60"/>
    <w:uiPriority w:val="0"/>
    <w:pPr>
      <w:ind w:firstLine="630"/>
    </w:pPr>
    <w:rPr>
      <w:sz w:val="32"/>
      <w:szCs w:val="20"/>
    </w:rPr>
  </w:style>
  <w:style w:type="paragraph" w:styleId="18">
    <w:name w:val="toc 5"/>
    <w:basedOn w:val="1"/>
    <w:next w:val="1"/>
    <w:uiPriority w:val="39"/>
    <w:pPr>
      <w:ind w:left="960"/>
      <w:jc w:val="left"/>
    </w:pPr>
    <w:rPr>
      <w:rFonts w:asciiTheme="minorHAnsi" w:hAnsiTheme="minorHAnsi"/>
      <w:sz w:val="18"/>
      <w:szCs w:val="18"/>
    </w:rPr>
  </w:style>
  <w:style w:type="paragraph" w:styleId="19">
    <w:name w:val="toc 3"/>
    <w:basedOn w:val="1"/>
    <w:next w:val="1"/>
    <w:unhideWhenUsed/>
    <w:qFormat/>
    <w:uiPriority w:val="39"/>
    <w:pPr>
      <w:ind w:left="480"/>
      <w:jc w:val="left"/>
    </w:pPr>
    <w:rPr>
      <w:rFonts w:asciiTheme="minorHAnsi" w:hAnsiTheme="minorHAnsi"/>
      <w:i/>
      <w:iCs/>
      <w:sz w:val="20"/>
      <w:szCs w:val="20"/>
    </w:rPr>
  </w:style>
  <w:style w:type="paragraph" w:styleId="20">
    <w:name w:val="Plain Text"/>
    <w:basedOn w:val="1"/>
    <w:link w:val="56"/>
    <w:uiPriority w:val="0"/>
    <w:rPr>
      <w:rFonts w:ascii="宋体" w:hAnsi="Courier New" w:cstheme="minorBidi"/>
      <w:szCs w:val="22"/>
    </w:rPr>
  </w:style>
  <w:style w:type="paragraph" w:styleId="21">
    <w:name w:val="toc 8"/>
    <w:basedOn w:val="1"/>
    <w:next w:val="1"/>
    <w:uiPriority w:val="39"/>
    <w:pPr>
      <w:ind w:left="1680"/>
      <w:jc w:val="left"/>
    </w:pPr>
    <w:rPr>
      <w:rFonts w:asciiTheme="minorHAnsi" w:hAnsiTheme="minorHAnsi"/>
      <w:sz w:val="18"/>
      <w:szCs w:val="18"/>
    </w:rPr>
  </w:style>
  <w:style w:type="paragraph" w:styleId="22">
    <w:name w:val="Date"/>
    <w:basedOn w:val="1"/>
    <w:next w:val="1"/>
    <w:link w:val="94"/>
    <w:semiHidden/>
    <w:unhideWhenUsed/>
    <w:uiPriority w:val="99"/>
    <w:pPr>
      <w:ind w:left="100" w:leftChars="2500"/>
    </w:pPr>
  </w:style>
  <w:style w:type="paragraph" w:styleId="23">
    <w:name w:val="Body Text Indent 2"/>
    <w:basedOn w:val="1"/>
    <w:link w:val="58"/>
    <w:uiPriority w:val="99"/>
    <w:pPr>
      <w:spacing w:after="120" w:line="480" w:lineRule="auto"/>
      <w:ind w:left="420" w:leftChars="200"/>
    </w:pPr>
    <w:rPr>
      <w:rFonts w:ascii="宋体"/>
      <w:kern w:val="0"/>
      <w:sz w:val="34"/>
      <w:szCs w:val="20"/>
    </w:rPr>
  </w:style>
  <w:style w:type="paragraph" w:styleId="24">
    <w:name w:val="Balloon Text"/>
    <w:basedOn w:val="1"/>
    <w:link w:val="75"/>
    <w:uiPriority w:val="99"/>
    <w:rPr>
      <w:sz w:val="18"/>
      <w:szCs w:val="18"/>
    </w:rPr>
  </w:style>
  <w:style w:type="paragraph" w:styleId="25">
    <w:name w:val="footer"/>
    <w:basedOn w:val="1"/>
    <w:link w:val="61"/>
    <w:qFormat/>
    <w:uiPriority w:val="0"/>
    <w:pPr>
      <w:tabs>
        <w:tab w:val="center" w:pos="4153"/>
        <w:tab w:val="right" w:pos="8306"/>
      </w:tabs>
      <w:jc w:val="left"/>
    </w:pPr>
    <w:rPr>
      <w:sz w:val="18"/>
      <w:szCs w:val="20"/>
    </w:rPr>
  </w:style>
  <w:style w:type="paragraph" w:styleId="26">
    <w:name w:val="header"/>
    <w:basedOn w:val="1"/>
    <w:link w:val="63"/>
    <w:uiPriority w:val="0"/>
    <w:pPr>
      <w:pBdr>
        <w:bottom w:val="single" w:color="auto" w:sz="6" w:space="1"/>
      </w:pBdr>
      <w:tabs>
        <w:tab w:val="center" w:pos="4153"/>
        <w:tab w:val="right" w:pos="8306"/>
      </w:tabs>
      <w:jc w:val="center"/>
    </w:pPr>
    <w:rPr>
      <w:sz w:val="18"/>
      <w:szCs w:val="20"/>
    </w:rPr>
  </w:style>
  <w:style w:type="paragraph" w:styleId="27">
    <w:name w:val="toc 1"/>
    <w:basedOn w:val="1"/>
    <w:next w:val="1"/>
    <w:unhideWhenUsed/>
    <w:qFormat/>
    <w:uiPriority w:val="39"/>
    <w:pPr>
      <w:tabs>
        <w:tab w:val="left" w:pos="1440"/>
        <w:tab w:val="right" w:leader="dot" w:pos="9884"/>
      </w:tabs>
      <w:spacing w:before="120" w:after="120"/>
      <w:ind w:firstLine="402"/>
      <w:jc w:val="center"/>
    </w:pPr>
    <w:rPr>
      <w:rFonts w:asciiTheme="minorHAnsi" w:hAnsiTheme="minorHAnsi"/>
      <w:b/>
      <w:bCs/>
      <w:caps/>
      <w:sz w:val="20"/>
      <w:szCs w:val="20"/>
    </w:rPr>
  </w:style>
  <w:style w:type="paragraph" w:styleId="28">
    <w:name w:val="toc 4"/>
    <w:basedOn w:val="1"/>
    <w:next w:val="1"/>
    <w:uiPriority w:val="39"/>
    <w:pPr>
      <w:ind w:left="720"/>
      <w:jc w:val="left"/>
    </w:pPr>
    <w:rPr>
      <w:rFonts w:asciiTheme="minorHAnsi" w:hAnsiTheme="minorHAnsi"/>
      <w:sz w:val="18"/>
      <w:szCs w:val="18"/>
    </w:rPr>
  </w:style>
  <w:style w:type="paragraph" w:styleId="29">
    <w:name w:val="Subtitle"/>
    <w:basedOn w:val="1"/>
    <w:next w:val="1"/>
    <w:link w:val="73"/>
    <w:qFormat/>
    <w:uiPriority w:val="11"/>
    <w:pPr>
      <w:spacing w:before="240" w:after="60" w:line="312" w:lineRule="auto"/>
      <w:jc w:val="center"/>
      <w:outlineLvl w:val="1"/>
    </w:pPr>
    <w:rPr>
      <w:rFonts w:ascii="Cambria" w:hAnsi="Cambria"/>
      <w:b/>
      <w:bCs/>
      <w:kern w:val="28"/>
      <w:sz w:val="32"/>
      <w:szCs w:val="32"/>
    </w:rPr>
  </w:style>
  <w:style w:type="paragraph" w:styleId="30">
    <w:name w:val="footnote text"/>
    <w:basedOn w:val="1"/>
    <w:link w:val="84"/>
    <w:uiPriority w:val="0"/>
    <w:pPr>
      <w:jc w:val="left"/>
    </w:pPr>
    <w:rPr>
      <w:rFonts w:ascii="宋体" w:hAnsi="宋体"/>
      <w:sz w:val="18"/>
      <w:szCs w:val="18"/>
    </w:rPr>
  </w:style>
  <w:style w:type="paragraph" w:styleId="31">
    <w:name w:val="toc 6"/>
    <w:basedOn w:val="1"/>
    <w:next w:val="1"/>
    <w:uiPriority w:val="39"/>
    <w:pPr>
      <w:ind w:left="1200"/>
      <w:jc w:val="left"/>
    </w:pPr>
    <w:rPr>
      <w:rFonts w:asciiTheme="minorHAnsi" w:hAnsiTheme="minorHAnsi"/>
      <w:sz w:val="18"/>
      <w:szCs w:val="18"/>
    </w:rPr>
  </w:style>
  <w:style w:type="paragraph" w:styleId="32">
    <w:name w:val="toc 2"/>
    <w:basedOn w:val="1"/>
    <w:next w:val="1"/>
    <w:unhideWhenUsed/>
    <w:qFormat/>
    <w:uiPriority w:val="39"/>
    <w:pPr>
      <w:tabs>
        <w:tab w:val="left" w:pos="1920"/>
        <w:tab w:val="right" w:leader="dot" w:pos="9884"/>
      </w:tabs>
      <w:spacing w:line="312" w:lineRule="auto"/>
      <w:ind w:left="240" w:firstLine="400"/>
      <w:jc w:val="left"/>
    </w:pPr>
    <w:rPr>
      <w:rFonts w:asciiTheme="minorHAnsi" w:hAnsiTheme="minorHAnsi"/>
      <w:smallCaps/>
      <w:sz w:val="20"/>
      <w:szCs w:val="20"/>
    </w:rPr>
  </w:style>
  <w:style w:type="paragraph" w:styleId="33">
    <w:name w:val="toc 9"/>
    <w:basedOn w:val="1"/>
    <w:next w:val="1"/>
    <w:uiPriority w:val="39"/>
    <w:pPr>
      <w:ind w:left="1920"/>
      <w:jc w:val="left"/>
    </w:pPr>
    <w:rPr>
      <w:rFonts w:asciiTheme="minorHAnsi" w:hAnsiTheme="minorHAnsi"/>
      <w:sz w:val="18"/>
      <w:szCs w:val="18"/>
    </w:rPr>
  </w:style>
  <w:style w:type="paragraph" w:styleId="34">
    <w:name w:val="Normal (Web)"/>
    <w:basedOn w:val="1"/>
    <w:uiPriority w:val="99"/>
    <w:pPr>
      <w:widowControl/>
      <w:spacing w:before="100" w:beforeAutospacing="1" w:after="100" w:afterAutospacing="1"/>
      <w:jc w:val="left"/>
    </w:pPr>
    <w:rPr>
      <w:rFonts w:ascii="宋体"/>
      <w:kern w:val="0"/>
      <w:sz w:val="18"/>
      <w:szCs w:val="18"/>
    </w:rPr>
  </w:style>
  <w:style w:type="paragraph" w:styleId="35">
    <w:name w:val="Title"/>
    <w:basedOn w:val="1"/>
    <w:next w:val="1"/>
    <w:link w:val="93"/>
    <w:qFormat/>
    <w:uiPriority w:val="10"/>
    <w:pPr>
      <w:spacing w:line="288" w:lineRule="auto"/>
      <w:ind w:left="2546" w:firstLine="0" w:firstLineChars="0"/>
      <w:jc w:val="left"/>
      <w:outlineLvl w:val="2"/>
    </w:pPr>
    <w:rPr>
      <w:rFonts w:eastAsia="微软雅黑" w:asciiTheme="majorHAnsi" w:hAnsiTheme="majorHAnsi" w:cstheme="majorBidi"/>
      <w:b/>
      <w:bCs/>
      <w:color w:val="000000" w:themeColor="text1"/>
      <w:szCs w:val="32"/>
      <w14:textFill>
        <w14:solidFill>
          <w14:schemeClr w14:val="tx1"/>
        </w14:solidFill>
      </w14:textFill>
    </w:rPr>
  </w:style>
  <w:style w:type="table" w:styleId="37">
    <w:name w:val="Table Grid"/>
    <w:basedOn w:val="36"/>
    <w:qFormat/>
    <w:uiPriority w:val="39"/>
    <w:pPr>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b/>
      <w:bCs/>
    </w:rPr>
  </w:style>
  <w:style w:type="character" w:styleId="40">
    <w:name w:val="page number"/>
    <w:uiPriority w:val="0"/>
  </w:style>
  <w:style w:type="character" w:styleId="41">
    <w:name w:val="Emphasis"/>
    <w:qFormat/>
    <w:uiPriority w:val="0"/>
    <w:rPr>
      <w:color w:val="CC0033"/>
    </w:rPr>
  </w:style>
  <w:style w:type="character" w:styleId="42">
    <w:name w:val="Hyperlink"/>
    <w:unhideWhenUsed/>
    <w:uiPriority w:val="99"/>
    <w:rPr>
      <w:color w:val="0563C1"/>
      <w:u w:val="single"/>
    </w:rPr>
  </w:style>
  <w:style w:type="character" w:styleId="43">
    <w:name w:val="annotation reference"/>
    <w:semiHidden/>
    <w:unhideWhenUsed/>
    <w:uiPriority w:val="99"/>
    <w:rPr>
      <w:sz w:val="21"/>
      <w:szCs w:val="21"/>
    </w:rPr>
  </w:style>
  <w:style w:type="character" w:styleId="44">
    <w:name w:val="footnote reference"/>
    <w:uiPriority w:val="0"/>
    <w:rPr>
      <w:vertAlign w:val="superscript"/>
    </w:rPr>
  </w:style>
  <w:style w:type="character" w:customStyle="1" w:styleId="45">
    <w:name w:val="标题 1 字符"/>
    <w:basedOn w:val="38"/>
    <w:link w:val="2"/>
    <w:uiPriority w:val="0"/>
    <w:rPr>
      <w:rFonts w:ascii="Calibri" w:hAnsi="Calibri" w:eastAsia="宋体" w:cs="Times New Roman"/>
      <w:b/>
      <w:bCs/>
      <w:kern w:val="44"/>
      <w:sz w:val="44"/>
      <w:szCs w:val="44"/>
    </w:rPr>
  </w:style>
  <w:style w:type="character" w:customStyle="1" w:styleId="46">
    <w:name w:val="标题 2 字符"/>
    <w:basedOn w:val="38"/>
    <w:link w:val="3"/>
    <w:uiPriority w:val="9"/>
    <w:rPr>
      <w:rFonts w:ascii="Arial" w:hAnsi="Arial" w:eastAsia="黑体" w:cs="Times New Roman"/>
      <w:b/>
      <w:bCs/>
      <w:sz w:val="32"/>
      <w:szCs w:val="32"/>
    </w:rPr>
  </w:style>
  <w:style w:type="character" w:customStyle="1" w:styleId="47">
    <w:name w:val="标题 3 字符"/>
    <w:basedOn w:val="38"/>
    <w:link w:val="4"/>
    <w:uiPriority w:val="9"/>
    <w:rPr>
      <w:rFonts w:ascii="Times New Roman" w:hAnsi="Times New Roman" w:cs="Times New Roman"/>
      <w:b/>
      <w:bCs/>
      <w:sz w:val="32"/>
      <w:szCs w:val="32"/>
    </w:rPr>
  </w:style>
  <w:style w:type="character" w:customStyle="1" w:styleId="48">
    <w:name w:val="标题 4 字符"/>
    <w:basedOn w:val="38"/>
    <w:link w:val="5"/>
    <w:uiPriority w:val="9"/>
    <w:rPr>
      <w:rFonts w:ascii="Calibri Light" w:hAnsi="Calibri Light" w:cs="Times New Roman"/>
      <w:b/>
      <w:bCs/>
      <w:sz w:val="28"/>
      <w:szCs w:val="28"/>
    </w:rPr>
  </w:style>
  <w:style w:type="character" w:customStyle="1" w:styleId="49">
    <w:name w:val="标题 5 字符"/>
    <w:basedOn w:val="38"/>
    <w:link w:val="6"/>
    <w:uiPriority w:val="9"/>
    <w:rPr>
      <w:rFonts w:ascii="Times New Roman" w:hAnsi="Times New Roman" w:cs="Times New Roman"/>
      <w:b/>
      <w:bCs/>
      <w:sz w:val="24"/>
      <w:szCs w:val="28"/>
    </w:rPr>
  </w:style>
  <w:style w:type="character" w:customStyle="1" w:styleId="50">
    <w:name w:val="标题 6 字符"/>
    <w:basedOn w:val="38"/>
    <w:link w:val="7"/>
    <w:uiPriority w:val="9"/>
    <w:rPr>
      <w:rFonts w:ascii="Arial" w:hAnsi="Arial" w:cs="Times New Roman"/>
      <w:b/>
      <w:kern w:val="0"/>
      <w:sz w:val="24"/>
      <w:szCs w:val="20"/>
    </w:rPr>
  </w:style>
  <w:style w:type="character" w:customStyle="1" w:styleId="51">
    <w:name w:val="标题 7 字符"/>
    <w:basedOn w:val="38"/>
    <w:link w:val="9"/>
    <w:uiPriority w:val="9"/>
    <w:rPr>
      <w:rFonts w:ascii="Times New Roman" w:hAnsi="Times New Roman" w:eastAsia="黑体" w:cs="Times New Roman"/>
      <w:b/>
      <w:bCs/>
      <w:sz w:val="28"/>
      <w:szCs w:val="24"/>
    </w:rPr>
  </w:style>
  <w:style w:type="character" w:customStyle="1" w:styleId="52">
    <w:name w:val="标题 8 字符"/>
    <w:basedOn w:val="38"/>
    <w:link w:val="10"/>
    <w:uiPriority w:val="9"/>
    <w:rPr>
      <w:rFonts w:ascii="Calibri Light" w:hAnsi="Calibri Light" w:cs="Times New Roman"/>
      <w:sz w:val="24"/>
      <w:szCs w:val="24"/>
    </w:rPr>
  </w:style>
  <w:style w:type="character" w:customStyle="1" w:styleId="53">
    <w:name w:val="标题 9 字符"/>
    <w:basedOn w:val="38"/>
    <w:link w:val="11"/>
    <w:uiPriority w:val="9"/>
    <w:rPr>
      <w:rFonts w:ascii="Arial" w:hAnsi="Arial" w:eastAsia="黑体" w:cs="Times New Roman"/>
      <w:szCs w:val="21"/>
    </w:rPr>
  </w:style>
  <w:style w:type="character" w:customStyle="1" w:styleId="54">
    <w:name w:val="正文缩进 字符"/>
    <w:link w:val="8"/>
    <w:uiPriority w:val="0"/>
    <w:rPr>
      <w:rFonts w:ascii="Calibri" w:hAnsi="Calibri" w:eastAsia="宋体"/>
      <w:szCs w:val="24"/>
    </w:rPr>
  </w:style>
  <w:style w:type="character" w:customStyle="1" w:styleId="55">
    <w:name w:val="headline-content2"/>
    <w:basedOn w:val="38"/>
    <w:uiPriority w:val="0"/>
  </w:style>
  <w:style w:type="character" w:customStyle="1" w:styleId="56">
    <w:name w:val="纯文本 字符"/>
    <w:link w:val="20"/>
    <w:uiPriority w:val="0"/>
    <w:rPr>
      <w:rFonts w:ascii="宋体" w:hAnsi="Courier New" w:eastAsia="宋体"/>
    </w:rPr>
  </w:style>
  <w:style w:type="character" w:customStyle="1" w:styleId="57">
    <w:name w:val="表正文 Char1"/>
    <w:uiPriority w:val="0"/>
    <w:rPr>
      <w:rFonts w:eastAsia="宋体"/>
      <w:kern w:val="2"/>
      <w:sz w:val="21"/>
      <w:szCs w:val="24"/>
      <w:lang w:val="en-US" w:eastAsia="zh-CN" w:bidi="ar-SA"/>
    </w:rPr>
  </w:style>
  <w:style w:type="character" w:customStyle="1" w:styleId="58">
    <w:name w:val="正文文本缩进 2 字符"/>
    <w:basedOn w:val="38"/>
    <w:link w:val="23"/>
    <w:uiPriority w:val="99"/>
    <w:rPr>
      <w:rFonts w:ascii="宋体" w:hAnsi="Times New Roman" w:eastAsia="宋体" w:cs="Times New Roman"/>
      <w:kern w:val="0"/>
      <w:sz w:val="34"/>
      <w:szCs w:val="20"/>
    </w:rPr>
  </w:style>
  <w:style w:type="character" w:customStyle="1" w:styleId="59">
    <w:name w:val="纯文本 Char1"/>
    <w:basedOn w:val="38"/>
    <w:semiHidden/>
    <w:uiPriority w:val="99"/>
    <w:rPr>
      <w:rFonts w:ascii="宋体" w:hAnsi="Courier New" w:eastAsia="宋体" w:cs="Courier New"/>
      <w:szCs w:val="21"/>
    </w:rPr>
  </w:style>
  <w:style w:type="character" w:customStyle="1" w:styleId="60">
    <w:name w:val="正文文本缩进 字符"/>
    <w:basedOn w:val="38"/>
    <w:link w:val="17"/>
    <w:uiPriority w:val="0"/>
    <w:rPr>
      <w:rFonts w:ascii="Calibri" w:hAnsi="Calibri" w:eastAsia="宋体" w:cs="Times New Roman"/>
      <w:sz w:val="32"/>
      <w:szCs w:val="20"/>
    </w:rPr>
  </w:style>
  <w:style w:type="character" w:customStyle="1" w:styleId="61">
    <w:name w:val="页脚 字符"/>
    <w:basedOn w:val="38"/>
    <w:link w:val="25"/>
    <w:uiPriority w:val="0"/>
    <w:rPr>
      <w:rFonts w:ascii="Calibri" w:hAnsi="Calibri" w:eastAsia="宋体" w:cs="Times New Roman"/>
      <w:sz w:val="18"/>
      <w:szCs w:val="20"/>
    </w:rPr>
  </w:style>
  <w:style w:type="paragraph" w:styleId="62">
    <w:name w:val="List Paragraph"/>
    <w:basedOn w:val="1"/>
    <w:qFormat/>
    <w:uiPriority w:val="34"/>
    <w:pPr>
      <w:ind w:firstLine="420"/>
    </w:pPr>
    <w:rPr>
      <w:sz w:val="18"/>
      <w:szCs w:val="18"/>
    </w:rPr>
  </w:style>
  <w:style w:type="character" w:customStyle="1" w:styleId="63">
    <w:name w:val="页眉 字符"/>
    <w:basedOn w:val="38"/>
    <w:link w:val="26"/>
    <w:qFormat/>
    <w:uiPriority w:val="0"/>
    <w:rPr>
      <w:rFonts w:ascii="Calibri" w:hAnsi="Calibri" w:eastAsia="宋体" w:cs="Times New Roman"/>
      <w:sz w:val="18"/>
      <w:szCs w:val="20"/>
    </w:rPr>
  </w:style>
  <w:style w:type="paragraph" w:customStyle="1" w:styleId="64">
    <w:name w:val="正文首行缩进两字符"/>
    <w:basedOn w:val="1"/>
    <w:qFormat/>
    <w:uiPriority w:val="0"/>
    <w:pPr>
      <w:spacing w:line="360" w:lineRule="auto"/>
    </w:pPr>
  </w:style>
  <w:style w:type="paragraph" w:customStyle="1" w:styleId="65">
    <w:name w:val="正文1"/>
    <w:uiPriority w:val="0"/>
    <w:pPr>
      <w:widowControl w:val="0"/>
      <w:adjustRightInd w:val="0"/>
      <w:spacing w:line="312" w:lineRule="atLeast"/>
      <w:jc w:val="both"/>
      <w:textAlignment w:val="baseline"/>
    </w:pPr>
    <w:rPr>
      <w:rFonts w:ascii="宋体" w:hAnsi="Calibri" w:eastAsia="宋体" w:cs="Times New Roman"/>
      <w:kern w:val="0"/>
      <w:sz w:val="34"/>
      <w:szCs w:val="22"/>
      <w:lang w:val="en-US" w:eastAsia="zh-CN" w:bidi="ar-SA"/>
    </w:rPr>
  </w:style>
  <w:style w:type="paragraph" w:customStyle="1" w:styleId="66">
    <w:name w:val="表格"/>
    <w:basedOn w:val="1"/>
    <w:uiPriority w:val="0"/>
    <w:pPr>
      <w:spacing w:line="400" w:lineRule="exact"/>
    </w:pPr>
  </w:style>
  <w:style w:type="paragraph" w:customStyle="1" w:styleId="67">
    <w:name w:val="样式"/>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68">
    <w:name w:val="样式 首行缩进:  2 字符"/>
    <w:basedOn w:val="1"/>
    <w:uiPriority w:val="0"/>
    <w:pPr>
      <w:spacing w:line="400" w:lineRule="exact"/>
    </w:pPr>
    <w:rPr>
      <w:rFonts w:cs="宋体"/>
    </w:rPr>
  </w:style>
  <w:style w:type="paragraph" w:customStyle="1" w:styleId="69">
    <w:name w:val="Table Text"/>
    <w:basedOn w:val="1"/>
    <w:uiPriority w:val="0"/>
    <w:pPr>
      <w:widowControl/>
      <w:spacing w:before="60" w:after="60"/>
      <w:jc w:val="left"/>
    </w:pPr>
    <w:rPr>
      <w:rFonts w:ascii="宋体"/>
      <w:kern w:val="0"/>
      <w:sz w:val="34"/>
      <w:szCs w:val="20"/>
    </w:rPr>
  </w:style>
  <w:style w:type="paragraph" w:customStyle="1" w:styleId="70">
    <w:name w:val="Char Char1 Char"/>
    <w:basedOn w:val="1"/>
    <w:uiPriority w:val="0"/>
    <w:pPr>
      <w:widowControl/>
      <w:spacing w:after="160" w:line="240" w:lineRule="exact"/>
      <w:jc w:val="left"/>
    </w:pPr>
    <w:rPr>
      <w:rFonts w:ascii="Verdana" w:hAnsi="Verdana" w:eastAsia="仿宋_GB2312"/>
      <w:kern w:val="0"/>
      <w:szCs w:val="20"/>
      <w:lang w:eastAsia="en-US"/>
    </w:rPr>
  </w:style>
  <w:style w:type="paragraph" w:customStyle="1" w:styleId="71">
    <w:name w:val="Defaul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72">
    <w:name w:val="Char1"/>
    <w:basedOn w:val="1"/>
    <w:uiPriority w:val="0"/>
    <w:pPr>
      <w:spacing w:line="360" w:lineRule="auto"/>
    </w:pPr>
    <w:rPr>
      <w:szCs w:val="21"/>
    </w:rPr>
  </w:style>
  <w:style w:type="character" w:customStyle="1" w:styleId="73">
    <w:name w:val="副标题 字符"/>
    <w:basedOn w:val="38"/>
    <w:link w:val="29"/>
    <w:uiPriority w:val="11"/>
    <w:rPr>
      <w:rFonts w:ascii="Cambria" w:hAnsi="Cambria" w:eastAsia="宋体" w:cs="Times New Roman"/>
      <w:b/>
      <w:bCs/>
      <w:kern w:val="28"/>
      <w:sz w:val="32"/>
      <w:szCs w:val="32"/>
    </w:rPr>
  </w:style>
  <w:style w:type="paragraph" w:customStyle="1" w:styleId="74">
    <w:name w:val="TOC Heading"/>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75">
    <w:name w:val="批注框文本 字符"/>
    <w:basedOn w:val="38"/>
    <w:link w:val="24"/>
    <w:uiPriority w:val="99"/>
    <w:rPr>
      <w:rFonts w:ascii="Calibri" w:hAnsi="Calibri" w:eastAsia="宋体" w:cs="Times New Roman"/>
      <w:sz w:val="18"/>
      <w:szCs w:val="18"/>
    </w:rPr>
  </w:style>
  <w:style w:type="paragraph" w:customStyle="1" w:styleId="76">
    <w:name w:val="二级标题"/>
    <w:basedOn w:val="3"/>
    <w:link w:val="77"/>
    <w:qFormat/>
    <w:uiPriority w:val="0"/>
    <w:pPr>
      <w:numPr>
        <w:ilvl w:val="0"/>
        <w:numId w:val="8"/>
      </w:numPr>
      <w:spacing w:before="0" w:after="0" w:line="408" w:lineRule="auto"/>
      <w:ind w:firstLine="0" w:firstLineChars="0"/>
      <w:jc w:val="left"/>
    </w:pPr>
    <w:rPr>
      <w:rFonts w:ascii="Cambria" w:hAnsi="Cambria"/>
      <w:b w:val="0"/>
      <w:color w:val="000000"/>
      <w:kern w:val="0"/>
    </w:rPr>
  </w:style>
  <w:style w:type="character" w:customStyle="1" w:styleId="77">
    <w:name w:val="二级标题 Char"/>
    <w:link w:val="76"/>
    <w:qFormat/>
    <w:uiPriority w:val="0"/>
    <w:rPr>
      <w:rFonts w:ascii="Cambria" w:hAnsi="Cambria" w:eastAsia="黑体" w:cs="Times New Roman"/>
      <w:bCs/>
      <w:color w:val="000000"/>
      <w:kern w:val="0"/>
      <w:sz w:val="32"/>
      <w:szCs w:val="32"/>
    </w:rPr>
  </w:style>
  <w:style w:type="paragraph" w:customStyle="1" w:styleId="78">
    <w:name w:val="一级标题"/>
    <w:basedOn w:val="2"/>
    <w:qFormat/>
    <w:uiPriority w:val="0"/>
    <w:pPr>
      <w:numPr>
        <w:ilvl w:val="0"/>
        <w:numId w:val="9"/>
      </w:numPr>
      <w:spacing w:before="0" w:after="0" w:line="420" w:lineRule="auto"/>
      <w:ind w:firstLine="0" w:firstLineChars="0"/>
      <w:jc w:val="center"/>
    </w:pPr>
    <w:rPr>
      <w:rFonts w:eastAsia="黑体"/>
      <w:sz w:val="36"/>
    </w:rPr>
  </w:style>
  <w:style w:type="paragraph" w:customStyle="1" w:styleId="79">
    <w:name w:val="三级标题"/>
    <w:basedOn w:val="4"/>
    <w:qFormat/>
    <w:uiPriority w:val="0"/>
    <w:pPr>
      <w:numPr>
        <w:numId w:val="10"/>
      </w:numPr>
      <w:spacing w:before="0" w:after="0" w:line="360" w:lineRule="auto"/>
      <w:jc w:val="left"/>
    </w:pPr>
    <w:rPr>
      <w:rFonts w:eastAsia="Adobe 黑体 Std R"/>
      <w:b w:val="0"/>
      <w:kern w:val="0"/>
      <w:sz w:val="28"/>
    </w:rPr>
  </w:style>
  <w:style w:type="paragraph" w:customStyle="1" w:styleId="80">
    <w:name w:val="四级标题"/>
    <w:basedOn w:val="62"/>
    <w:uiPriority w:val="0"/>
    <w:pPr>
      <w:spacing w:line="360" w:lineRule="auto"/>
      <w:ind w:right="100" w:rightChars="100" w:firstLine="0" w:firstLineChars="0"/>
      <w:jc w:val="left"/>
    </w:pPr>
    <w:rPr>
      <w:b/>
      <w:sz w:val="24"/>
      <w:szCs w:val="22"/>
    </w:rPr>
  </w:style>
  <w:style w:type="paragraph" w:styleId="8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82">
    <w:name w:val="样式 标题 3 + 仿宋_GB2312"/>
    <w:basedOn w:val="4"/>
    <w:uiPriority w:val="0"/>
    <w:pPr>
      <w:spacing w:before="60" w:after="60" w:line="360" w:lineRule="auto"/>
    </w:pPr>
    <w:rPr>
      <w:rFonts w:ascii="仿宋_GB2312" w:hAnsi="华文细黑" w:eastAsia="仿宋_GB2312"/>
      <w:bCs w:val="0"/>
      <w:kern w:val="0"/>
      <w:sz w:val="30"/>
      <w:szCs w:val="20"/>
    </w:rPr>
  </w:style>
  <w:style w:type="character" w:customStyle="1" w:styleId="83">
    <w:name w:val="Char Char4"/>
    <w:uiPriority w:val="0"/>
    <w:rPr>
      <w:rFonts w:ascii="Times New Roman" w:hAnsi="Times New Roman"/>
      <w:b/>
      <w:sz w:val="28"/>
    </w:rPr>
  </w:style>
  <w:style w:type="character" w:customStyle="1" w:styleId="84">
    <w:name w:val="脚注文本 字符"/>
    <w:basedOn w:val="38"/>
    <w:link w:val="30"/>
    <w:uiPriority w:val="0"/>
    <w:rPr>
      <w:rFonts w:ascii="宋体" w:hAnsi="宋体" w:eastAsia="宋体" w:cs="Times New Roman"/>
      <w:sz w:val="18"/>
      <w:szCs w:val="18"/>
    </w:rPr>
  </w:style>
  <w:style w:type="paragraph" w:customStyle="1" w:styleId="85">
    <w:name w:val="Char Char6"/>
    <w:basedOn w:val="1"/>
    <w:uiPriority w:val="0"/>
    <w:pPr>
      <w:tabs>
        <w:tab w:val="left" w:pos="1200"/>
      </w:tabs>
      <w:spacing w:line="360" w:lineRule="auto"/>
      <w:ind w:left="1200" w:leftChars="400" w:hanging="360" w:hangingChars="200"/>
    </w:pPr>
    <w:rPr>
      <w:szCs w:val="20"/>
    </w:rPr>
  </w:style>
  <w:style w:type="paragraph" w:customStyle="1" w:styleId="86">
    <w:name w:val="五级标题"/>
    <w:basedOn w:val="80"/>
    <w:qFormat/>
    <w:uiPriority w:val="0"/>
    <w:pPr>
      <w:numPr>
        <w:ilvl w:val="0"/>
        <w:numId w:val="11"/>
      </w:numPr>
      <w:ind w:right="0" w:rightChars="0"/>
    </w:pPr>
    <w:rPr>
      <w:kern w:val="0"/>
      <w:szCs w:val="20"/>
    </w:rPr>
  </w:style>
  <w:style w:type="character" w:customStyle="1" w:styleId="87">
    <w:name w:val="批注文字 字符"/>
    <w:link w:val="16"/>
    <w:uiPriority w:val="0"/>
    <w:rPr>
      <w:rFonts w:ascii="Cambria" w:hAnsi="Cambria" w:eastAsia="MS Mincho" w:cs="Times New Roman"/>
      <w:kern w:val="0"/>
      <w:sz w:val="24"/>
      <w:szCs w:val="24"/>
      <w:lang w:eastAsia="ja-JP"/>
    </w:rPr>
  </w:style>
  <w:style w:type="character" w:customStyle="1" w:styleId="88">
    <w:name w:val="批注文字 Char1"/>
    <w:basedOn w:val="38"/>
    <w:semiHidden/>
    <w:uiPriority w:val="99"/>
    <w:rPr>
      <w:rFonts w:ascii="Calibri" w:hAnsi="Calibri" w:eastAsia="宋体" w:cs="Times New Roman"/>
      <w:sz w:val="24"/>
      <w:szCs w:val="24"/>
    </w:rPr>
  </w:style>
  <w:style w:type="paragraph" w:customStyle="1" w:styleId="89">
    <w:name w:val="Char Char Char Char Char"/>
    <w:basedOn w:val="1"/>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90">
    <w:name w:val="number"/>
    <w:basedOn w:val="38"/>
    <w:uiPriority w:val="0"/>
  </w:style>
  <w:style w:type="character" w:customStyle="1" w:styleId="91">
    <w:name w:val="文档结构图 字符"/>
    <w:basedOn w:val="38"/>
    <w:link w:val="15"/>
    <w:uiPriority w:val="0"/>
    <w:rPr>
      <w:rFonts w:ascii="宋体" w:hAnsi="Times New Roman" w:eastAsia="宋体" w:cs="Times New Roman"/>
      <w:sz w:val="18"/>
      <w:szCs w:val="18"/>
    </w:rPr>
  </w:style>
  <w:style w:type="paragraph" w:customStyle="1" w:styleId="92">
    <w:name w:val="标题31"/>
    <w:basedOn w:val="1"/>
    <w:next w:val="1"/>
    <w:qFormat/>
    <w:uiPriority w:val="10"/>
    <w:pPr>
      <w:numPr>
        <w:ilvl w:val="0"/>
        <w:numId w:val="12"/>
      </w:numPr>
      <w:spacing w:line="288" w:lineRule="auto"/>
      <w:ind w:firstLine="0" w:firstLineChars="0"/>
      <w:jc w:val="left"/>
      <w:outlineLvl w:val="2"/>
    </w:pPr>
    <w:rPr>
      <w:rFonts w:ascii="Calibri Light" w:hAnsi="Calibri Light" w:eastAsia="微软雅黑"/>
      <w:b/>
      <w:bCs/>
      <w:color w:val="000000"/>
      <w:szCs w:val="32"/>
    </w:rPr>
  </w:style>
  <w:style w:type="character" w:customStyle="1" w:styleId="93">
    <w:name w:val="标题 字符"/>
    <w:basedOn w:val="38"/>
    <w:link w:val="35"/>
    <w:uiPriority w:val="10"/>
    <w:rPr>
      <w:rFonts w:eastAsia="微软雅黑" w:asciiTheme="majorHAnsi" w:hAnsiTheme="majorHAnsi" w:cstheme="majorBidi"/>
      <w:b/>
      <w:bCs/>
      <w:color w:val="000000" w:themeColor="text1"/>
      <w:sz w:val="24"/>
      <w:szCs w:val="32"/>
      <w14:textFill>
        <w14:solidFill>
          <w14:schemeClr w14:val="tx1"/>
        </w14:solidFill>
      </w14:textFill>
    </w:rPr>
  </w:style>
  <w:style w:type="character" w:customStyle="1" w:styleId="94">
    <w:name w:val="日期 字符"/>
    <w:basedOn w:val="38"/>
    <w:link w:val="22"/>
    <w:semiHidden/>
    <w:uiPriority w:val="99"/>
    <w:rPr>
      <w:rFonts w:ascii="Times New Roman" w:hAnsi="Times New Roman" w:cs="Times New Roman"/>
      <w:sz w:val="24"/>
      <w:szCs w:val="24"/>
    </w:rPr>
  </w:style>
  <w:style w:type="paragraph" w:customStyle="1" w:styleId="95">
    <w:name w:val="Revision"/>
    <w:hidden/>
    <w:semiHidden/>
    <w:uiPriority w:val="99"/>
    <w:rPr>
      <w:rFonts w:ascii="Times New Roman" w:hAnsi="Times New Roman" w:cs="Times New Roman" w:eastAsiaTheme="minorEastAsia"/>
      <w:kern w:val="2"/>
      <w:sz w:val="24"/>
      <w:szCs w:val="24"/>
      <w:lang w:val="en-US" w:eastAsia="zh-CN" w:bidi="ar-SA"/>
    </w:rPr>
  </w:style>
  <w:style w:type="character" w:customStyle="1" w:styleId="96">
    <w:name w:val="H-文本正文 Char Char"/>
    <w:link w:val="97"/>
    <w:locked/>
    <w:uiPriority w:val="0"/>
    <w:rPr>
      <w:rFonts w:ascii="宋体" w:hAnsi="Courier New"/>
    </w:rPr>
  </w:style>
  <w:style w:type="paragraph" w:customStyle="1" w:styleId="97">
    <w:name w:val="H-文本正文"/>
    <w:basedOn w:val="20"/>
    <w:link w:val="96"/>
    <w:qFormat/>
    <w:uiPriority w:val="0"/>
    <w:pPr>
      <w:adjustRightInd/>
      <w:snapToGrid/>
      <w:spacing w:before="156" w:beforeLines="50" w:line="360" w:lineRule="auto"/>
      <w:ind w:left="1273" w:leftChars="606" w:firstLine="0" w:firstLineChars="0"/>
    </w:pPr>
    <w:rPr>
      <w:sz w:val="21"/>
    </w:rPr>
  </w:style>
  <w:style w:type="paragraph" w:customStyle="1" w:styleId="98">
    <w:name w:val="H-第-条"/>
    <w:basedOn w:val="20"/>
    <w:qFormat/>
    <w:uiPriority w:val="0"/>
    <w:pPr>
      <w:numPr>
        <w:ilvl w:val="0"/>
        <w:numId w:val="13"/>
      </w:numPr>
      <w:tabs>
        <w:tab w:val="left" w:pos="1304"/>
      </w:tabs>
      <w:adjustRightInd/>
      <w:snapToGrid/>
      <w:spacing w:before="156" w:beforeLines="50" w:line="360" w:lineRule="auto"/>
      <w:ind w:firstLine="0" w:firstLineChars="0"/>
    </w:pPr>
    <w:rPr>
      <w:rFonts w:eastAsia="宋体" w:cs="Times New Roman"/>
      <w:color w:val="000000"/>
      <w:szCs w:val="24"/>
    </w:rPr>
  </w:style>
  <w:style w:type="character" w:customStyle="1" w:styleId="99">
    <w:name w:val="Unresolved Mention"/>
    <w:basedOn w:val="3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921A9-5A29-466D-85DD-4D1664E41A7F}">
  <ds:schemaRefs/>
</ds:datastoreItem>
</file>

<file path=docProps/app.xml><?xml version="1.0" encoding="utf-8"?>
<Properties xmlns="http://schemas.openxmlformats.org/officeDocument/2006/extended-properties" xmlns:vt="http://schemas.openxmlformats.org/officeDocument/2006/docPropsVTypes">
  <Template>Normal.dotm</Template>
  <Pages>31</Pages>
  <Words>6724</Words>
  <Characters>38328</Characters>
  <Lines>319</Lines>
  <Paragraphs>89</Paragraphs>
  <TotalTime>35</TotalTime>
  <ScaleCrop>false</ScaleCrop>
  <LinksUpToDate>false</LinksUpToDate>
  <CharactersWithSpaces>44963</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2019-01-17T08:57:00Z</dcterms:created>
  <dc:creator>ADMIN</dc:creator>
  <cp:lastModifiedBy>向红桔</cp:lastModifiedBy>
  <cp:lastPrinted>2018-10-08T05:10:00Z</cp:lastPrinted>
  <dcterms:modified xsi:type="dcterms:W3CDTF">2025-06-23T02:39:11Z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115D861A758E40CFB6DBB4956965F686</vt:lpwstr>
  </property>
</Properties>
</file>