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val="0"/>
        <w:jc w:val="both"/>
        <w:rPr>
          <w:rFonts w:hint="eastAsia" w:ascii="黑体" w:hAnsi="黑体" w:eastAsia="黑体" w:cs="Times New Roman"/>
          <w:b w:val="0"/>
          <w:color w:val="auto"/>
          <w:kern w:val="2"/>
          <w:sz w:val="32"/>
          <w:szCs w:val="32"/>
          <w:lang w:val="en-US" w:eastAsia="zh-CN" w:bidi="ar-SA"/>
        </w:rPr>
      </w:pPr>
      <w:bookmarkStart w:id="0" w:name="_GoBack"/>
      <w:r>
        <w:rPr>
          <w:rFonts w:hint="eastAsia" w:ascii="黑体" w:hAnsi="黑体" w:eastAsia="黑体" w:cs="Times New Roman"/>
          <w:b w:val="0"/>
          <w:color w:val="auto"/>
          <w:kern w:val="2"/>
          <w:sz w:val="32"/>
          <w:szCs w:val="32"/>
          <w:lang w:val="en-US" w:eastAsia="zh-CN" w:bidi="ar-SA"/>
        </w:rPr>
        <w:t>附件2</w:t>
      </w:r>
    </w:p>
    <w:p>
      <w:pPr>
        <w:widowControl w:val="0"/>
        <w:suppressAutoHyphens w:val="0"/>
        <w:jc w:val="center"/>
        <w:rPr>
          <w:rFonts w:hint="eastAsia" w:ascii="方正小标宋简体" w:hAnsi="Calibri" w:eastAsia="方正小标宋简体" w:cs="Times New Roman"/>
          <w:b w:val="0"/>
          <w:color w:val="auto"/>
          <w:kern w:val="2"/>
          <w:sz w:val="44"/>
          <w:szCs w:val="44"/>
          <w:lang w:val="en-US" w:eastAsia="zh-CN" w:bidi="ar-SA"/>
        </w:rPr>
      </w:pPr>
      <w:r>
        <w:rPr>
          <w:rFonts w:hint="eastAsia" w:ascii="方正小标宋简体" w:hAnsi="Calibri" w:eastAsia="方正小标宋简体" w:cs="Times New Roman"/>
          <w:b w:val="0"/>
          <w:color w:val="auto"/>
          <w:kern w:val="2"/>
          <w:sz w:val="44"/>
          <w:szCs w:val="44"/>
          <w:lang w:val="en-US" w:eastAsia="zh-CN" w:bidi="ar-SA"/>
        </w:rPr>
        <w:t>旺苍县商务和经济合作局2025年涉企行政执法检查计划</w:t>
      </w:r>
      <w:bookmarkEnd w:id="0"/>
    </w:p>
    <w:tbl>
      <w:tblPr>
        <w:tblStyle w:val="2"/>
        <w:tblW w:w="15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9"/>
        <w:gridCol w:w="1373"/>
        <w:gridCol w:w="1400"/>
        <w:gridCol w:w="700"/>
        <w:gridCol w:w="813"/>
        <w:gridCol w:w="1000"/>
        <w:gridCol w:w="725"/>
        <w:gridCol w:w="1012"/>
        <w:gridCol w:w="1025"/>
        <w:gridCol w:w="1875"/>
        <w:gridCol w:w="1063"/>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suppressAutoHyphens/>
              <w:spacing w:line="260" w:lineRule="exact"/>
              <w:jc w:val="center"/>
              <w:rPr>
                <w:rFonts w:ascii="黑体" w:hAnsi="Calibri" w:eastAsia="黑体" w:cs="Times New Roman"/>
                <w:sz w:val="22"/>
                <w:szCs w:val="22"/>
              </w:rPr>
            </w:pPr>
            <w:r>
              <w:rPr>
                <w:rFonts w:hint="eastAsia" w:ascii="黑体" w:hAnsi="黑体" w:eastAsia="黑体" w:cs="Times New Roman"/>
                <w:kern w:val="0"/>
                <w:sz w:val="22"/>
                <w:szCs w:val="22"/>
              </w:rPr>
              <w:t>序号</w:t>
            </w:r>
          </w:p>
        </w:tc>
        <w:tc>
          <w:tcPr>
            <w:tcW w:w="1373"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sz w:val="22"/>
                <w:szCs w:val="22"/>
              </w:rPr>
              <w:t>检查事项</w:t>
            </w:r>
          </w:p>
        </w:tc>
        <w:tc>
          <w:tcPr>
            <w:tcW w:w="1400"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kern w:val="0"/>
                <w:sz w:val="22"/>
                <w:szCs w:val="22"/>
              </w:rPr>
            </w:pPr>
            <w:r>
              <w:rPr>
                <w:rFonts w:hint="eastAsia" w:ascii="黑体" w:hAnsi="黑体" w:eastAsia="黑体" w:cs="Times New Roman"/>
                <w:kern w:val="0"/>
                <w:sz w:val="22"/>
                <w:szCs w:val="22"/>
              </w:rPr>
              <w:t>检查</w:t>
            </w:r>
          </w:p>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对象</w:t>
            </w:r>
          </w:p>
        </w:tc>
        <w:tc>
          <w:tcPr>
            <w:tcW w:w="700"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sz w:val="22"/>
                <w:szCs w:val="22"/>
              </w:rPr>
              <w:t>检查频次</w:t>
            </w:r>
          </w:p>
        </w:tc>
        <w:tc>
          <w:tcPr>
            <w:tcW w:w="813"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kern w:val="0"/>
                <w:sz w:val="22"/>
                <w:szCs w:val="22"/>
              </w:rPr>
            </w:pPr>
            <w:r>
              <w:rPr>
                <w:rFonts w:hint="eastAsia" w:ascii="黑体" w:hAnsi="黑体" w:eastAsia="黑体" w:cs="Times New Roman"/>
                <w:kern w:val="0"/>
                <w:sz w:val="22"/>
                <w:szCs w:val="22"/>
              </w:rPr>
              <w:t>检查比例</w:t>
            </w:r>
          </w:p>
          <w:p>
            <w:pPr>
              <w:suppressAutoHyphens/>
              <w:spacing w:line="280" w:lineRule="exact"/>
              <w:textAlignment w:val="center"/>
              <w:rPr>
                <w:rFonts w:ascii="黑体" w:hAnsi="Calibri" w:eastAsia="黑体" w:cs="Times New Roman"/>
                <w:sz w:val="22"/>
                <w:szCs w:val="22"/>
              </w:rPr>
            </w:pPr>
          </w:p>
        </w:tc>
        <w:tc>
          <w:tcPr>
            <w:tcW w:w="1000"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检查方式</w:t>
            </w:r>
          </w:p>
        </w:tc>
        <w:tc>
          <w:tcPr>
            <w:tcW w:w="725"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sz w:val="22"/>
                <w:szCs w:val="22"/>
              </w:rPr>
              <w:t>计划类型</w:t>
            </w:r>
          </w:p>
        </w:tc>
        <w:tc>
          <w:tcPr>
            <w:tcW w:w="1012"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检查完成时限</w:t>
            </w:r>
          </w:p>
        </w:tc>
        <w:tc>
          <w:tcPr>
            <w:tcW w:w="1025"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牵头实施部门</w:t>
            </w:r>
          </w:p>
        </w:tc>
        <w:tc>
          <w:tcPr>
            <w:tcW w:w="1875"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检查事项内容</w:t>
            </w:r>
          </w:p>
        </w:tc>
        <w:tc>
          <w:tcPr>
            <w:tcW w:w="1063"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参与部门</w:t>
            </w:r>
          </w:p>
        </w:tc>
        <w:tc>
          <w:tcPr>
            <w:tcW w:w="3710" w:type="dxa"/>
            <w:tcBorders>
              <w:top w:val="single" w:color="auto" w:sz="4" w:space="0"/>
              <w:left w:val="single" w:color="auto" w:sz="4" w:space="0"/>
              <w:bottom w:val="single" w:color="auto" w:sz="4" w:space="0"/>
              <w:right w:val="single" w:color="auto" w:sz="4" w:space="0"/>
            </w:tcBorders>
            <w:vAlign w:val="center"/>
          </w:tcPr>
          <w:p>
            <w:pPr>
              <w:suppressAutoHyphens/>
              <w:spacing w:line="280" w:lineRule="exact"/>
              <w:jc w:val="center"/>
              <w:textAlignment w:val="center"/>
              <w:rPr>
                <w:rFonts w:ascii="黑体" w:hAnsi="Calibri" w:eastAsia="黑体" w:cs="Times New Roman"/>
                <w:sz w:val="22"/>
                <w:szCs w:val="22"/>
              </w:rPr>
            </w:pPr>
            <w:r>
              <w:rPr>
                <w:rFonts w:hint="eastAsia" w:ascii="黑体" w:hAnsi="黑体" w:eastAsia="黑体" w:cs="Times New Roman"/>
                <w:kern w:val="0"/>
                <w:sz w:val="22"/>
                <w:szCs w:val="22"/>
              </w:rPr>
              <w:t>参与部门事项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restart"/>
            <w:tcBorders>
              <w:top w:val="single" w:color="auto" w:sz="4" w:space="0"/>
              <w:left w:val="single" w:color="auto" w:sz="4" w:space="0"/>
              <w:right w:val="single" w:color="auto" w:sz="4" w:space="0"/>
            </w:tcBorders>
            <w:vAlign w:val="center"/>
          </w:tcPr>
          <w:p>
            <w:pPr>
              <w:widowControl w:val="0"/>
              <w:suppressAutoHyphens w:val="0"/>
              <w:jc w:val="both"/>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2"/>
                <w:szCs w:val="22"/>
                <w:lang w:val="en-US" w:eastAsia="zh-CN" w:bidi="ar-SA"/>
              </w:rPr>
              <w:t>1</w:t>
            </w:r>
          </w:p>
        </w:tc>
        <w:tc>
          <w:tcPr>
            <w:tcW w:w="1373"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单用途商业预付卡抽查检查</w:t>
            </w:r>
          </w:p>
        </w:tc>
        <w:tc>
          <w:tcPr>
            <w:tcW w:w="1400"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单用途商业预付卡发卡和售卡备案企业</w:t>
            </w:r>
          </w:p>
        </w:tc>
        <w:tc>
          <w:tcPr>
            <w:tcW w:w="700"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全年1次</w:t>
            </w:r>
          </w:p>
        </w:tc>
        <w:tc>
          <w:tcPr>
            <w:tcW w:w="813"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2家</w:t>
            </w:r>
          </w:p>
        </w:tc>
        <w:tc>
          <w:tcPr>
            <w:tcW w:w="1000"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现场检查</w:t>
            </w:r>
          </w:p>
        </w:tc>
        <w:tc>
          <w:tcPr>
            <w:tcW w:w="725"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专项</w:t>
            </w:r>
          </w:p>
        </w:tc>
        <w:tc>
          <w:tcPr>
            <w:tcW w:w="1012"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10月31日前</w:t>
            </w:r>
          </w:p>
        </w:tc>
        <w:tc>
          <w:tcPr>
            <w:tcW w:w="1025"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875"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单</w:t>
            </w:r>
            <w:r>
              <w:rPr>
                <w:rFonts w:hint="eastAsia" w:ascii="仿宋_GB2312" w:hAnsi="仿宋_GB2312" w:eastAsia="仿宋_GB2312" w:cs="仿宋_GB2312"/>
                <w:color w:val="000000"/>
                <w:kern w:val="0"/>
                <w:sz w:val="21"/>
                <w:szCs w:val="21"/>
                <w:lang w:bidi="ar"/>
              </w:rPr>
              <w:t>用途商业预付卡业务活动、内部控制和风险状况等。</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县市场监</w:t>
            </w:r>
          </w:p>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督管理局</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年度报告公示信息的检查</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389" w:type="dxa"/>
            <w:vMerge w:val="continue"/>
            <w:tcBorders>
              <w:left w:val="single" w:color="auto" w:sz="4" w:space="0"/>
              <w:bottom w:val="single" w:color="auto" w:sz="4" w:space="0"/>
              <w:right w:val="single" w:color="auto" w:sz="4" w:space="0"/>
            </w:tcBorders>
            <w:vAlign w:val="center"/>
          </w:tcPr>
          <w:p>
            <w:pPr>
              <w:widowControl w:val="0"/>
              <w:suppressAutoHyphens w:val="0"/>
              <w:jc w:val="both"/>
              <w:rPr>
                <w:rFonts w:hint="eastAsia" w:ascii="仿宋_GB2312" w:hAnsi="仿宋_GB2312" w:eastAsia="仿宋_GB2312" w:cs="仿宋_GB2312"/>
                <w:b/>
                <w:color w:val="auto"/>
                <w:kern w:val="2"/>
                <w:sz w:val="28"/>
                <w:szCs w:val="28"/>
                <w:lang w:val="en-US" w:eastAsia="zh-CN" w:bidi="ar-SA"/>
              </w:rPr>
            </w:pPr>
          </w:p>
        </w:tc>
        <w:tc>
          <w:tcPr>
            <w:tcW w:w="137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县税务局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纳税人（扣款义务人）</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税收缴纳情况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restart"/>
            <w:tcBorders>
              <w:top w:val="single" w:color="auto" w:sz="4" w:space="0"/>
              <w:left w:val="single" w:color="auto" w:sz="4" w:space="0"/>
              <w:right w:val="single" w:color="auto" w:sz="4" w:space="0"/>
            </w:tcBorders>
            <w:vAlign w:val="center"/>
          </w:tcPr>
          <w:p>
            <w:pPr>
              <w:widowControl w:val="0"/>
              <w:suppressAutoHyphens w:val="0"/>
              <w:jc w:val="both"/>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8"/>
                <w:szCs w:val="28"/>
                <w:lang w:val="en-US" w:eastAsia="zh-CN" w:bidi="ar-SA"/>
              </w:rPr>
              <w:t>2</w:t>
            </w:r>
          </w:p>
        </w:tc>
        <w:tc>
          <w:tcPr>
            <w:tcW w:w="1373"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外商投资年度报告抽查</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c>
          <w:tcPr>
            <w:tcW w:w="14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外商投资企业或外国投资者</w:t>
            </w:r>
          </w:p>
          <w:p>
            <w:pPr>
              <w:widowControl/>
              <w:suppressAutoHyphens w:val="0"/>
              <w:jc w:val="left"/>
              <w:rPr>
                <w:rFonts w:hint="default" w:ascii="仿宋_GB2312" w:hAnsi="仿宋_GB2312" w:eastAsia="仿宋_GB2312" w:cs="仿宋_GB2312"/>
                <w:color w:val="000000"/>
                <w:kern w:val="0"/>
                <w:sz w:val="21"/>
                <w:szCs w:val="21"/>
                <w:lang w:val="en-US" w:eastAsia="zh-CN" w:bidi="ar"/>
              </w:rPr>
            </w:pPr>
          </w:p>
        </w:tc>
        <w:tc>
          <w:tcPr>
            <w:tcW w:w="7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全年1次</w:t>
            </w:r>
          </w:p>
        </w:tc>
        <w:tc>
          <w:tcPr>
            <w:tcW w:w="813"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1家</w:t>
            </w:r>
          </w:p>
        </w:tc>
        <w:tc>
          <w:tcPr>
            <w:tcW w:w="10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现场检查</w:t>
            </w:r>
          </w:p>
        </w:tc>
        <w:tc>
          <w:tcPr>
            <w:tcW w:w="72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专项</w:t>
            </w:r>
          </w:p>
        </w:tc>
        <w:tc>
          <w:tcPr>
            <w:tcW w:w="1012"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10月31日前</w:t>
            </w:r>
          </w:p>
        </w:tc>
        <w:tc>
          <w:tcPr>
            <w:tcW w:w="102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87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按照《外商投资信息报告办法》</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要求确定并实施</w:t>
            </w:r>
            <w:r>
              <w:rPr>
                <w:rFonts w:hint="eastAsia" w:ascii="仿宋_GB2312" w:hAnsi="仿宋_GB2312" w:eastAsia="仿宋_GB2312" w:cs="仿宋_GB2312"/>
                <w:color w:val="000000"/>
                <w:kern w:val="0"/>
                <w:sz w:val="21"/>
                <w:szCs w:val="21"/>
                <w:lang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县市场监督管理局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年度报告公示信息的</w:t>
            </w:r>
          </w:p>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检查</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hAnsi="Calibri" w:eastAsia="仿宋_GB2312" w:cs="Times New Roman"/>
                <w:sz w:val="22"/>
                <w:szCs w:val="22"/>
              </w:rPr>
            </w:pPr>
          </w:p>
        </w:tc>
        <w:tc>
          <w:tcPr>
            <w:tcW w:w="137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县税务局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外商投资企业或外国投资者是</w:t>
            </w:r>
            <w:r>
              <w:rPr>
                <w:rFonts w:hint="eastAsia" w:ascii="仿宋_GB2312" w:hAnsi="仿宋_GB2312" w:eastAsia="仿宋_GB2312" w:cs="仿宋_GB2312"/>
                <w:color w:val="000000"/>
                <w:kern w:val="0"/>
                <w:sz w:val="21"/>
                <w:szCs w:val="21"/>
                <w:lang w:val="en-US" w:eastAsia="zh-CN" w:bidi="ar"/>
              </w:rPr>
              <w:t>否</w:t>
            </w:r>
            <w:r>
              <w:rPr>
                <w:rFonts w:hint="eastAsia" w:ascii="仿宋_GB2312" w:hAnsi="仿宋_GB2312" w:eastAsia="仿宋_GB2312" w:cs="仿宋_GB2312"/>
                <w:color w:val="000000"/>
                <w:kern w:val="0"/>
                <w:sz w:val="21"/>
                <w:szCs w:val="21"/>
                <w:lang w:bidi="ar"/>
              </w:rPr>
              <w:t>在进行信息报告时隐瞒真实情况，提供误导性或虚假信息的检查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3</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新车销售市场抽查检查</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汽车销售经销商（主要是新车4S店）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全年1次</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现场检查</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专项</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10月31日前</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按照《汽车销售管理办法》要求，根据职能职责进行</w:t>
            </w:r>
            <w:r>
              <w:rPr>
                <w:rFonts w:hint="eastAsia" w:ascii="仿宋_GB2312" w:hAnsi="仿宋_GB2312" w:eastAsia="仿宋_GB2312" w:cs="仿宋_GB2312"/>
                <w:color w:val="000000"/>
                <w:kern w:val="0"/>
                <w:sz w:val="21"/>
                <w:szCs w:val="21"/>
                <w:lang w:bidi="ar"/>
              </w:rPr>
              <w:t>查</w:t>
            </w:r>
            <w:r>
              <w:rPr>
                <w:rFonts w:hint="eastAsia" w:ascii="仿宋_GB2312" w:hAnsi="仿宋_GB2312" w:eastAsia="仿宋_GB2312" w:cs="仿宋_GB2312"/>
                <w:color w:val="000000"/>
                <w:kern w:val="0"/>
                <w:sz w:val="21"/>
                <w:szCs w:val="21"/>
                <w:lang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县市场监督管理局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对在售机动车是否获得有效的强制性产品认证证书，并加贴CCC认证标志，新车交易相关监管的检查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4</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二手车交易市场</w:t>
            </w:r>
            <w:r>
              <w:rPr>
                <w:rFonts w:hint="eastAsia" w:ascii="仿宋_GB2312" w:hAnsi="仿宋_GB2312" w:eastAsia="仿宋_GB2312" w:cs="仿宋_GB2312"/>
                <w:color w:val="000000"/>
                <w:kern w:val="0"/>
                <w:sz w:val="21"/>
                <w:szCs w:val="21"/>
                <w:lang w:val="en-US" w:eastAsia="zh-CN" w:bidi="ar"/>
              </w:rPr>
              <w:t>抽查</w:t>
            </w:r>
            <w:r>
              <w:rPr>
                <w:rFonts w:hint="eastAsia" w:ascii="仿宋_GB2312" w:hAnsi="仿宋_GB2312" w:eastAsia="仿宋_GB2312" w:cs="仿宋_GB2312"/>
                <w:color w:val="000000"/>
                <w:kern w:val="0"/>
                <w:sz w:val="21"/>
                <w:szCs w:val="21"/>
                <w:lang w:bidi="ar"/>
              </w:rPr>
              <w:t>检查</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二手车交易市场和二手车经营主体</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一般</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全年1次</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现场检查</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专项</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10月31日前</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按照《二手车流通管理办法》内容要求，根据职能职责进行抽查。</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县市场监督管理局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年度报告公示信息的检查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5</w:t>
            </w:r>
          </w:p>
        </w:tc>
        <w:tc>
          <w:tcPr>
            <w:tcW w:w="1373"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报废机动车回收拆解活动检查</w:t>
            </w:r>
          </w:p>
        </w:tc>
        <w:tc>
          <w:tcPr>
            <w:tcW w:w="14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报废机动车回收拆解企业</w:t>
            </w:r>
          </w:p>
        </w:tc>
        <w:tc>
          <w:tcPr>
            <w:tcW w:w="7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全年1次</w:t>
            </w:r>
          </w:p>
        </w:tc>
        <w:tc>
          <w:tcPr>
            <w:tcW w:w="813"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2家</w:t>
            </w:r>
          </w:p>
        </w:tc>
        <w:tc>
          <w:tcPr>
            <w:tcW w:w="10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现场检查</w:t>
            </w:r>
          </w:p>
        </w:tc>
        <w:tc>
          <w:tcPr>
            <w:tcW w:w="72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专项</w:t>
            </w:r>
          </w:p>
        </w:tc>
        <w:tc>
          <w:tcPr>
            <w:tcW w:w="1012"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10月31日前</w:t>
            </w:r>
          </w:p>
        </w:tc>
        <w:tc>
          <w:tcPr>
            <w:tcW w:w="102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875"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按照《报废机动车回收管理办法》及《实施细则》要求，根据职能职责检查</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县市场监督管理局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依据《报废机动车回收管理办法实施细则》和道路交通安全有关法律规范规定，对生产、销售利用报废机动车“五大总成”和其他零部件拼装的机动车的，经有关主管部门依法处罚后，有营业执照的，吊销营业执照。对报废机动车在拆解或者处置过程中可能造成环境污染的电器电子等产品，设计使用列入国家禁止使用名录的有毒有害物质的，依法处罚。协同商务主管部门查处非法回收拆解报废机动车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continue"/>
            <w:tcBorders>
              <w:left w:val="single" w:color="auto" w:sz="4" w:space="0"/>
              <w:right w:val="single" w:color="auto" w:sz="4" w:space="0"/>
            </w:tcBorders>
            <w:vAlign w:val="center"/>
          </w:tcPr>
          <w:p>
            <w:pPr>
              <w:widowControl/>
              <w:suppressAutoHyphens w:val="0"/>
              <w:jc w:val="left"/>
              <w:rPr>
                <w:rFonts w:ascii="仿宋_GB2312" w:hAnsi="Calibri" w:eastAsia="仿宋_GB2312" w:cs="Times New Roman"/>
                <w:sz w:val="22"/>
                <w:szCs w:val="22"/>
              </w:rPr>
            </w:pPr>
          </w:p>
        </w:tc>
        <w:tc>
          <w:tcPr>
            <w:tcW w:w="137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广元市旺苍生态环境局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对报废机动车回收拆解活动的日常监督检查并处理相关违法行为</w:t>
            </w:r>
            <w:r>
              <w:rPr>
                <w:rFonts w:hint="eastAsia" w:ascii="仿宋_GB2312" w:hAnsi="仿宋_GB2312" w:eastAsia="仿宋_GB2312" w:cs="仿宋_GB2312"/>
                <w:color w:val="000000"/>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continue"/>
            <w:tcBorders>
              <w:left w:val="single" w:color="auto" w:sz="4" w:space="0"/>
              <w:right w:val="single" w:color="auto" w:sz="4" w:space="0"/>
            </w:tcBorders>
            <w:vAlign w:val="center"/>
          </w:tcPr>
          <w:p>
            <w:pPr>
              <w:widowControl/>
              <w:suppressAutoHyphens w:val="0"/>
              <w:jc w:val="left"/>
              <w:rPr>
                <w:rFonts w:ascii="仿宋_GB2312" w:hAnsi="Calibri" w:eastAsia="仿宋_GB2312" w:cs="Times New Roman"/>
                <w:sz w:val="22"/>
                <w:szCs w:val="22"/>
              </w:rPr>
            </w:pPr>
          </w:p>
        </w:tc>
        <w:tc>
          <w:tcPr>
            <w:tcW w:w="137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县经济信息化和科学技术局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对机动车生产企业向回收拆解企业提供技术的监管;配合商务音门对回收拆解企业按国家标准和规定拆卸、收集、储存、运输及回收利用报废新能源车的废旧动力蓄电池或者其他类型储能设备，将车辆识别代码、动力蓄电池编码、型号等信息录入有关平台的监</w:t>
            </w:r>
            <w:r>
              <w:rPr>
                <w:rFonts w:hint="eastAsia" w:ascii="仿宋_GB2312" w:hAnsi="仿宋_GB2312" w:eastAsia="仿宋_GB2312" w:cs="仿宋_GB2312"/>
                <w:color w:val="000000"/>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continue"/>
            <w:tcBorders>
              <w:left w:val="single" w:color="auto" w:sz="4" w:space="0"/>
              <w:right w:val="single" w:color="auto" w:sz="4" w:space="0"/>
            </w:tcBorders>
            <w:vAlign w:val="center"/>
          </w:tcPr>
          <w:p>
            <w:pPr>
              <w:widowControl/>
              <w:suppressAutoHyphens w:val="0"/>
              <w:jc w:val="left"/>
              <w:rPr>
                <w:rFonts w:ascii="仿宋_GB2312" w:hAnsi="Calibri" w:eastAsia="仿宋_GB2312" w:cs="Times New Roman"/>
                <w:sz w:val="22"/>
                <w:szCs w:val="22"/>
              </w:rPr>
            </w:pPr>
          </w:p>
        </w:tc>
        <w:tc>
          <w:tcPr>
            <w:tcW w:w="137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县公安局</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对报废机动车回收拆解行业治安状况、买卖伪造票证等活动实施监督管理</w:t>
            </w:r>
            <w:r>
              <w:rPr>
                <w:rFonts w:hint="eastAsia" w:ascii="仿宋_GB2312" w:hAnsi="仿宋_GB2312" w:eastAsia="仿宋_GB2312" w:cs="仿宋_GB2312"/>
                <w:color w:val="000000"/>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9"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hAnsi="Calibri" w:eastAsia="仿宋_GB2312" w:cs="Times New Roman"/>
                <w:sz w:val="22"/>
                <w:szCs w:val="22"/>
              </w:rPr>
            </w:pPr>
          </w:p>
        </w:tc>
        <w:tc>
          <w:tcPr>
            <w:tcW w:w="137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4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81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7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12"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87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县交通运输局</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对机动车维修经营者承修已报废的机动车行为实施监督管理。</w:t>
            </w:r>
          </w:p>
          <w:p>
            <w:pPr>
              <w:widowControl/>
              <w:suppressAutoHyphens w:val="0"/>
              <w:jc w:val="left"/>
              <w:rPr>
                <w:rFonts w:hint="eastAsia" w:ascii="仿宋_GB2312" w:hAnsi="仿宋_GB2312" w:eastAsia="仿宋_GB2312" w:cs="仿宋_GB2312"/>
                <w:color w:val="000000"/>
                <w:kern w:val="0"/>
                <w:sz w:val="21"/>
                <w:szCs w:val="21"/>
                <w:lang w:val="en-US" w:eastAsia="zh-CN" w:bidi="ar"/>
              </w:rPr>
            </w:pPr>
          </w:p>
        </w:tc>
      </w:tr>
    </w:tbl>
    <w:p>
      <w:pPr>
        <w:suppressAutoHyphens/>
        <w:rPr>
          <w:rFonts w:ascii="Calibri" w:hAnsi="Calibri" w:eastAsia="宋体" w:cs="Times New Roman"/>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4298E"/>
    <w:rsid w:val="2E84298E"/>
    <w:rsid w:val="74F5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2025-07-09T03:15:00Z</dcterms:created>
  <dc:creator>WCSWJ</dc:creator>
  <cp:lastModifiedBy>WCSWJ</cp:lastModifiedBy>
  <dcterms:modified xsi:type="dcterms:W3CDTF">2025-07-09T03:19:10Z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